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675" w:tblpY="20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0"/>
      </w:tblGrid>
      <w:tr w:rsidR="0029508E">
        <w:tc>
          <w:tcPr>
            <w:tcW w:w="8820" w:type="dxa"/>
            <w:tcBorders>
              <w:tl2br w:val="nil"/>
              <w:tr2bl w:val="nil"/>
            </w:tcBorders>
            <w:noWrap/>
          </w:tcPr>
          <w:p w:rsidR="0029508E" w:rsidRDefault="0029508E">
            <w:pPr>
              <w:pStyle w:val="p0"/>
              <w:widowControl w:val="0"/>
              <w:topLinePunct w:val="0"/>
              <w:spacing w:line="240" w:lineRule="auto"/>
              <w:rPr>
                <w:rFonts w:ascii="方正黑体_GBK" w:eastAsia="方正黑体_GBK" w:hAnsi="方正黑体_GBK" w:cs="方正黑体_GBK"/>
                <w:bCs/>
                <w:kern w:val="2"/>
              </w:rPr>
            </w:pPr>
          </w:p>
        </w:tc>
      </w:tr>
      <w:tr w:rsidR="0029508E">
        <w:tc>
          <w:tcPr>
            <w:tcW w:w="8820" w:type="dxa"/>
            <w:tcBorders>
              <w:tl2br w:val="nil"/>
              <w:tr2bl w:val="nil"/>
            </w:tcBorders>
            <w:noWrap/>
          </w:tcPr>
          <w:p w:rsidR="0029508E" w:rsidRDefault="0029508E">
            <w:pPr>
              <w:pStyle w:val="p0"/>
              <w:widowControl w:val="0"/>
              <w:topLinePunct w:val="0"/>
              <w:spacing w:line="240" w:lineRule="auto"/>
              <w:rPr>
                <w:rFonts w:ascii="方正黑体_GBK" w:eastAsia="方正黑体_GBK" w:hAnsi="方正黑体_GBK" w:cs="方正黑体_GBK"/>
                <w:bCs/>
                <w:kern w:val="2"/>
              </w:rPr>
            </w:pPr>
          </w:p>
        </w:tc>
      </w:tr>
      <w:tr w:rsidR="0029508E">
        <w:tc>
          <w:tcPr>
            <w:tcW w:w="8820" w:type="dxa"/>
            <w:tcBorders>
              <w:tl2br w:val="nil"/>
              <w:tr2bl w:val="nil"/>
            </w:tcBorders>
            <w:noWrap/>
          </w:tcPr>
          <w:p w:rsidR="0029508E" w:rsidRDefault="0029508E">
            <w:pPr>
              <w:pStyle w:val="p0"/>
              <w:widowControl w:val="0"/>
              <w:topLinePunct w:val="0"/>
              <w:spacing w:line="240" w:lineRule="auto"/>
              <w:rPr>
                <w:rFonts w:ascii="方正黑体_GBK" w:eastAsia="方正黑体_GBK" w:hAnsi="方正黑体_GBK" w:cs="方正黑体_GBK"/>
                <w:bCs/>
                <w:kern w:val="2"/>
              </w:rPr>
            </w:pPr>
          </w:p>
        </w:tc>
      </w:tr>
      <w:tr w:rsidR="0029508E">
        <w:trPr>
          <w:trHeight w:val="539"/>
        </w:trPr>
        <w:tc>
          <w:tcPr>
            <w:tcW w:w="8820" w:type="dxa"/>
            <w:tcBorders>
              <w:tl2br w:val="nil"/>
              <w:tr2bl w:val="nil"/>
            </w:tcBorders>
            <w:noWrap/>
          </w:tcPr>
          <w:p w:rsidR="0029508E" w:rsidRDefault="004D60F6">
            <w:pPr>
              <w:pStyle w:val="p0"/>
              <w:widowControl w:val="0"/>
              <w:topLinePunct w:val="0"/>
              <w:spacing w:line="1300" w:lineRule="exact"/>
              <w:jc w:val="distribute"/>
              <w:rPr>
                <w:rFonts w:ascii="方正黑体_GBK" w:eastAsia="方正黑体_GBK" w:hAnsi="方正黑体_GBK" w:cs="方正黑体_GBK"/>
                <w:bCs/>
                <w:kern w:val="2"/>
              </w:rPr>
            </w:pPr>
            <w:r>
              <w:rPr>
                <w:rFonts w:eastAsia="方正小标宋_GBK" w:hint="eastAsia"/>
                <w:b/>
                <w:color w:val="FF0000"/>
                <w:w w:val="47"/>
                <w:sz w:val="120"/>
                <w:szCs w:val="120"/>
              </w:rPr>
              <w:t>南京市</w:t>
            </w:r>
            <w:r>
              <w:rPr>
                <w:rFonts w:eastAsia="方正小标宋_GBK" w:hint="eastAsia"/>
                <w:b/>
                <w:color w:val="FF0000"/>
                <w:w w:val="47"/>
                <w:sz w:val="120"/>
                <w:szCs w:val="120"/>
              </w:rPr>
              <w:t>浦口区</w:t>
            </w:r>
            <w:r>
              <w:rPr>
                <w:rFonts w:eastAsia="方正小标宋_GBK" w:hint="eastAsia"/>
                <w:b/>
                <w:color w:val="FF0000"/>
                <w:w w:val="47"/>
                <w:sz w:val="120"/>
                <w:szCs w:val="120"/>
              </w:rPr>
              <w:t>人民政府</w:t>
            </w:r>
            <w:r>
              <w:rPr>
                <w:rFonts w:eastAsia="方正小标宋_GBK" w:hint="eastAsia"/>
                <w:b/>
                <w:color w:val="FF0000"/>
                <w:w w:val="47"/>
                <w:sz w:val="120"/>
                <w:szCs w:val="120"/>
              </w:rPr>
              <w:t>办公室</w:t>
            </w:r>
            <w:r>
              <w:rPr>
                <w:rFonts w:eastAsia="方正小标宋_GBK" w:hint="eastAsia"/>
                <w:b/>
                <w:color w:val="FF0000"/>
                <w:w w:val="47"/>
                <w:sz w:val="120"/>
                <w:szCs w:val="120"/>
              </w:rPr>
              <w:t>文件</w:t>
            </w:r>
          </w:p>
        </w:tc>
      </w:tr>
      <w:tr w:rsidR="0029508E">
        <w:trPr>
          <w:trHeight w:val="539"/>
        </w:trPr>
        <w:tc>
          <w:tcPr>
            <w:tcW w:w="8820" w:type="dxa"/>
            <w:tcBorders>
              <w:tl2br w:val="nil"/>
              <w:tr2bl w:val="nil"/>
            </w:tcBorders>
            <w:noWrap/>
          </w:tcPr>
          <w:p w:rsidR="0029508E" w:rsidRDefault="0029508E">
            <w:pPr>
              <w:pStyle w:val="p0"/>
              <w:widowControl w:val="0"/>
              <w:topLinePunct w:val="0"/>
              <w:spacing w:line="240" w:lineRule="auto"/>
              <w:rPr>
                <w:rFonts w:ascii="方正黑体_GBK" w:eastAsia="方正黑体_GBK" w:hAnsi="方正黑体_GBK" w:cs="方正黑体_GBK"/>
                <w:bCs/>
                <w:kern w:val="2"/>
              </w:rPr>
            </w:pPr>
          </w:p>
        </w:tc>
      </w:tr>
      <w:tr w:rsidR="0029508E">
        <w:trPr>
          <w:trHeight w:val="459"/>
        </w:trPr>
        <w:tc>
          <w:tcPr>
            <w:tcW w:w="8820" w:type="dxa"/>
            <w:tcBorders>
              <w:tl2br w:val="nil"/>
              <w:tr2bl w:val="nil"/>
            </w:tcBorders>
            <w:noWrap/>
          </w:tcPr>
          <w:p w:rsidR="0029508E" w:rsidRDefault="0029508E">
            <w:pPr>
              <w:pStyle w:val="p0"/>
              <w:widowControl w:val="0"/>
              <w:topLinePunct w:val="0"/>
              <w:spacing w:line="240" w:lineRule="auto"/>
              <w:rPr>
                <w:rFonts w:ascii="方正黑体_GBK" w:eastAsia="方正黑体_GBK" w:hAnsi="方正黑体_GBK" w:cs="方正黑体_GBK"/>
                <w:bCs/>
                <w:kern w:val="2"/>
              </w:rPr>
            </w:pPr>
          </w:p>
        </w:tc>
      </w:tr>
      <w:tr w:rsidR="0029508E">
        <w:trPr>
          <w:trHeight w:val="539"/>
        </w:trPr>
        <w:tc>
          <w:tcPr>
            <w:tcW w:w="8820" w:type="dxa"/>
            <w:tcBorders>
              <w:bottom w:val="single" w:sz="18" w:space="0" w:color="FF0000"/>
            </w:tcBorders>
            <w:noWrap/>
          </w:tcPr>
          <w:p w:rsidR="0029508E" w:rsidRDefault="004D60F6" w:rsidP="00FD7E08">
            <w:pPr>
              <w:pStyle w:val="p0"/>
              <w:widowControl w:val="0"/>
              <w:topLinePunct w:val="0"/>
              <w:spacing w:line="240" w:lineRule="auto"/>
              <w:jc w:val="center"/>
              <w:rPr>
                <w:rFonts w:ascii="方正黑体_GBK" w:eastAsia="方正黑体_GBK" w:hAnsi="方正黑体_GBK" w:cs="方正黑体_GBK"/>
                <w:bCs/>
                <w:kern w:val="2"/>
              </w:rPr>
            </w:pPr>
            <w:r>
              <w:rPr>
                <w:rFonts w:ascii="Times New Roman" w:hAnsi="Times New Roman"/>
                <w:bCs/>
                <w:snapToGrid w:val="0"/>
              </w:rPr>
              <w:t>浦</w:t>
            </w:r>
            <w:r>
              <w:rPr>
                <w:rFonts w:ascii="Times New Roman" w:hAnsi="Times New Roman"/>
                <w:bCs/>
                <w:snapToGrid w:val="0"/>
              </w:rPr>
              <w:t>政</w:t>
            </w:r>
            <w:r>
              <w:rPr>
                <w:rFonts w:ascii="Times New Roman" w:hAnsi="Times New Roman" w:hint="eastAsia"/>
                <w:bCs/>
                <w:snapToGrid w:val="0"/>
              </w:rPr>
              <w:t>办</w:t>
            </w:r>
            <w:r>
              <w:rPr>
                <w:rFonts w:ascii="Times New Roman" w:hAnsi="Times New Roman"/>
                <w:bCs/>
                <w:snapToGrid w:val="0"/>
              </w:rPr>
              <w:t>发〔</w:t>
            </w:r>
            <w:r>
              <w:rPr>
                <w:rFonts w:ascii="Times New Roman" w:hAnsi="Times New Roman"/>
                <w:bCs/>
                <w:snapToGrid w:val="0"/>
              </w:rPr>
              <w:t>202</w:t>
            </w:r>
            <w:r>
              <w:rPr>
                <w:rFonts w:ascii="Times New Roman" w:hAnsi="Times New Roman" w:hint="eastAsia"/>
                <w:bCs/>
                <w:snapToGrid w:val="0"/>
              </w:rPr>
              <w:t>3</w:t>
            </w:r>
            <w:r>
              <w:rPr>
                <w:rFonts w:ascii="Times New Roman" w:hAnsi="Times New Roman"/>
                <w:bCs/>
                <w:snapToGrid w:val="0"/>
              </w:rPr>
              <w:t>〕</w:t>
            </w:r>
            <w:r w:rsidR="00FD7E08">
              <w:rPr>
                <w:rFonts w:ascii="Times New Roman" w:hAnsi="Times New Roman" w:hint="eastAsia"/>
                <w:bCs/>
                <w:snapToGrid w:val="0"/>
              </w:rPr>
              <w:t>26</w:t>
            </w:r>
            <w:r>
              <w:rPr>
                <w:rFonts w:ascii="Times New Roman" w:hAnsi="Times New Roman"/>
                <w:bCs/>
                <w:snapToGrid w:val="0"/>
              </w:rPr>
              <w:t>号</w:t>
            </w:r>
          </w:p>
        </w:tc>
      </w:tr>
      <w:tr w:rsidR="0029508E">
        <w:trPr>
          <w:trHeight w:val="510"/>
        </w:trPr>
        <w:tc>
          <w:tcPr>
            <w:tcW w:w="8820" w:type="dxa"/>
            <w:tcBorders>
              <w:top w:val="single" w:sz="18" w:space="0" w:color="FF0000"/>
              <w:tl2br w:val="nil"/>
              <w:tr2bl w:val="nil"/>
            </w:tcBorders>
            <w:noWrap/>
          </w:tcPr>
          <w:p w:rsidR="0029508E" w:rsidRDefault="0029508E">
            <w:pPr>
              <w:pStyle w:val="p0"/>
              <w:widowControl w:val="0"/>
              <w:topLinePunct w:val="0"/>
              <w:spacing w:line="240" w:lineRule="auto"/>
              <w:rPr>
                <w:rFonts w:ascii="方正黑体_GBK" w:eastAsia="方正黑体_GBK" w:hAnsi="方正黑体_GBK" w:cs="方正黑体_GBK"/>
                <w:bCs/>
                <w:kern w:val="2"/>
              </w:rPr>
            </w:pPr>
          </w:p>
        </w:tc>
      </w:tr>
      <w:tr w:rsidR="0029508E">
        <w:trPr>
          <w:trHeight w:val="489"/>
        </w:trPr>
        <w:tc>
          <w:tcPr>
            <w:tcW w:w="8820" w:type="dxa"/>
            <w:tcBorders>
              <w:tl2br w:val="nil"/>
              <w:tr2bl w:val="nil"/>
            </w:tcBorders>
            <w:noWrap/>
          </w:tcPr>
          <w:p w:rsidR="0029508E" w:rsidRDefault="0029508E">
            <w:pPr>
              <w:pStyle w:val="p0"/>
              <w:widowControl w:val="0"/>
              <w:topLinePunct w:val="0"/>
              <w:spacing w:line="240" w:lineRule="auto"/>
              <w:rPr>
                <w:rFonts w:ascii="方正黑体_GBK" w:eastAsia="方正黑体_GBK" w:hAnsi="方正黑体_GBK" w:cs="方正黑体_GBK"/>
                <w:bCs/>
                <w:kern w:val="2"/>
              </w:rPr>
            </w:pPr>
          </w:p>
        </w:tc>
      </w:tr>
    </w:tbl>
    <w:p w:rsidR="0029508E" w:rsidRDefault="004D60F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关于公布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浦口</w:t>
      </w:r>
      <w:r>
        <w:rPr>
          <w:rFonts w:ascii="Times New Roman" w:eastAsia="方正小标宋_GBK" w:hAnsi="Times New Roman" w:cs="Times New Roman"/>
          <w:sz w:val="44"/>
          <w:szCs w:val="44"/>
        </w:rPr>
        <w:t>区人民政府</w:t>
      </w: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年度重大行政决策事项目录的通知</w:t>
      </w:r>
    </w:p>
    <w:p w:rsidR="0029508E" w:rsidRDefault="0029508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4D60F6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各街道办事处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区府各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委办局</w:t>
      </w:r>
      <w:r>
        <w:rPr>
          <w:rFonts w:ascii="Times New Roman" w:eastAsia="方正仿宋_GBK" w:hAnsi="Times New Roman" w:cs="Times New Roman"/>
          <w:sz w:val="32"/>
          <w:szCs w:val="32"/>
        </w:rPr>
        <w:t>，区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各直属单位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29508E" w:rsidRDefault="004D60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为进一步规范重大行政决策，促进依法、科学、民主决策，提高决策质量和效率，根据《江苏省重大行政决策程序实施办法》《南京市重大行政决策程序规则》等有关规定，现将《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浦口</w:t>
      </w:r>
      <w:r>
        <w:rPr>
          <w:rFonts w:ascii="Times New Roman" w:eastAsia="方正仿宋_GBK" w:hAnsi="Times New Roman" w:cs="Times New Roman"/>
          <w:sz w:val="32"/>
          <w:szCs w:val="32"/>
        </w:rPr>
        <w:t>区人民政府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年度重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大</w:t>
      </w:r>
      <w:r>
        <w:rPr>
          <w:rFonts w:ascii="Times New Roman" w:eastAsia="方正仿宋_GBK" w:hAnsi="Times New Roman" w:cs="Times New Roman"/>
          <w:sz w:val="32"/>
          <w:szCs w:val="32"/>
        </w:rPr>
        <w:t>行政决策事项目录》予以公布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并就</w:t>
      </w:r>
      <w:r>
        <w:rPr>
          <w:rFonts w:ascii="Times New Roman" w:eastAsia="方正仿宋_GBK" w:hAnsi="Times New Roman" w:cs="Times New Roman"/>
          <w:sz w:val="32"/>
          <w:szCs w:val="32"/>
        </w:rPr>
        <w:t>有关事项通知如下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29508E" w:rsidRDefault="004D60F6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列入目录的重大行政决策事项应当严格按照国家、省、市关于重大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行政</w:t>
      </w:r>
      <w:r>
        <w:rPr>
          <w:rFonts w:ascii="Times New Roman" w:eastAsia="方正仿宋_GBK" w:hAnsi="Times New Roman" w:cs="Times New Roman"/>
          <w:sz w:val="32"/>
          <w:szCs w:val="32"/>
        </w:rPr>
        <w:t>决策程序的要求，认真落实公众参与、专家论证、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风险评估、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合</w:t>
      </w:r>
      <w:r>
        <w:rPr>
          <w:rFonts w:ascii="Times New Roman" w:eastAsia="方正仿宋_GBK" w:hAnsi="Times New Roman" w:cs="Times New Roman"/>
          <w:sz w:val="32"/>
          <w:szCs w:val="32"/>
        </w:rPr>
        <w:t>法性审查、集体讨论决定等法定程序，确保程序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规范</w:t>
      </w:r>
      <w:r>
        <w:rPr>
          <w:rFonts w:ascii="Times New Roman" w:eastAsia="方正仿宋_GBK" w:hAnsi="Times New Roman" w:cs="Times New Roman"/>
          <w:sz w:val="32"/>
          <w:szCs w:val="32"/>
        </w:rPr>
        <w:t>、过程公开、责任明确。承办单位在提请区政府常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务</w:t>
      </w:r>
      <w:r>
        <w:rPr>
          <w:rFonts w:ascii="Times New Roman" w:eastAsia="方正仿宋_GBK" w:hAnsi="Times New Roman" w:cs="Times New Roman"/>
          <w:sz w:val="32"/>
          <w:szCs w:val="32"/>
        </w:rPr>
        <w:t>会议或者全体会议讨论决定时，应当说明履行重大行政决策程序的情况。</w:t>
      </w:r>
    </w:p>
    <w:p w:rsidR="0029508E" w:rsidRDefault="004D60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、承办单位应当建立健全重大行政决策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档</w:t>
      </w:r>
      <w:r>
        <w:rPr>
          <w:rFonts w:ascii="Times New Roman" w:eastAsia="方正仿宋_GBK" w:hAnsi="Times New Roman" w:cs="Times New Roman"/>
          <w:sz w:val="32"/>
          <w:szCs w:val="32"/>
        </w:rPr>
        <w:t>案管理制度，对决策立项和决策过程中形成的法定程序证明材料及时整理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归</w:t>
      </w:r>
      <w:r>
        <w:rPr>
          <w:rFonts w:ascii="Times New Roman" w:eastAsia="方正仿宋_GBK" w:hAnsi="Times New Roman" w:cs="Times New Roman"/>
          <w:sz w:val="32"/>
          <w:szCs w:val="32"/>
        </w:rPr>
        <w:t>档，实现重大行政决策全过程记录。</w:t>
      </w:r>
    </w:p>
    <w:p w:rsidR="0029508E" w:rsidRDefault="004D60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三、重大行政决策目录实行动态管理，因工作需要新增或调整重大行政决策事项，承办单位应当按照有关规定程序提请调整。</w:t>
      </w:r>
    </w:p>
    <w:p w:rsidR="0029508E" w:rsidRDefault="004D60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四、各决策事项组织实施的合法性、规范性情况纳入年</w:t>
      </w:r>
      <w:r>
        <w:rPr>
          <w:rFonts w:ascii="Times New Roman" w:eastAsia="方正仿宋_GBK" w:hAnsi="Times New Roman" w:cs="Times New Roman"/>
          <w:sz w:val="32"/>
          <w:szCs w:val="32"/>
        </w:rPr>
        <w:t>度绩效考核范围。</w:t>
      </w:r>
    </w:p>
    <w:p w:rsidR="0029508E" w:rsidRDefault="0029508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4D60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浦口</w:t>
      </w:r>
      <w:r>
        <w:rPr>
          <w:rFonts w:ascii="Times New Roman" w:eastAsia="方正仿宋_GBK" w:hAnsi="Times New Roman" w:cs="Times New Roman"/>
          <w:sz w:val="32"/>
          <w:szCs w:val="32"/>
        </w:rPr>
        <w:t>区人民政府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年度重大行政决策事项目录</w:t>
      </w:r>
    </w:p>
    <w:p w:rsidR="0029508E" w:rsidRDefault="0029508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D7E08" w:rsidRDefault="00FD7E08">
      <w:pPr>
        <w:spacing w:line="560" w:lineRule="exact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FD7E08" w:rsidRDefault="00FD7E08">
      <w:pPr>
        <w:spacing w:line="560" w:lineRule="exact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29508E" w:rsidRDefault="004D60F6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南京市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浦口</w:t>
      </w:r>
      <w:r>
        <w:rPr>
          <w:rFonts w:ascii="Times New Roman" w:eastAsia="方正仿宋_GBK" w:hAnsi="Times New Roman" w:cs="Times New Roman"/>
          <w:sz w:val="32"/>
          <w:szCs w:val="32"/>
        </w:rPr>
        <w:t>区人民政府办公室</w:t>
      </w:r>
    </w:p>
    <w:p w:rsidR="0029508E" w:rsidRDefault="00FD7E08">
      <w:pPr>
        <w:wordWrap w:val="0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</w:t>
      </w:r>
      <w:r w:rsidR="004D60F6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4D60F6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D60F6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4D60F6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D60F6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4D60F6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D7E08" w:rsidRDefault="00FD7E08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FD7E08" w:rsidRDefault="00FD7E08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29508E" w:rsidRDefault="004D60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p w:rsidR="0029508E" w:rsidRDefault="0029508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29508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29508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29508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29508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29508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29508E" w:rsidRDefault="004D60F6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29508E" w:rsidRDefault="004D60F6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浦口</w:t>
      </w:r>
      <w:r>
        <w:rPr>
          <w:rFonts w:ascii="Times New Roman" w:eastAsia="方正仿宋_GBK" w:hAnsi="Times New Roman" w:cs="Times New Roman"/>
          <w:sz w:val="32"/>
          <w:szCs w:val="32"/>
        </w:rPr>
        <w:t>区人民政府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年度重大行政决策事项目录</w:t>
      </w:r>
    </w:p>
    <w:tbl>
      <w:tblPr>
        <w:tblStyle w:val="a5"/>
        <w:tblW w:w="0" w:type="auto"/>
        <w:jc w:val="center"/>
        <w:tblLook w:val="04A0"/>
      </w:tblPr>
      <w:tblGrid>
        <w:gridCol w:w="1018"/>
        <w:gridCol w:w="4830"/>
        <w:gridCol w:w="2674"/>
      </w:tblGrid>
      <w:tr w:rsidR="0029508E">
        <w:trPr>
          <w:jc w:val="center"/>
        </w:trPr>
        <w:tc>
          <w:tcPr>
            <w:tcW w:w="1018" w:type="dxa"/>
          </w:tcPr>
          <w:p w:rsidR="0029508E" w:rsidRDefault="004D60F6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4830" w:type="dxa"/>
          </w:tcPr>
          <w:p w:rsidR="0029508E" w:rsidRDefault="004D60F6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决策事项名称</w:t>
            </w:r>
          </w:p>
        </w:tc>
        <w:tc>
          <w:tcPr>
            <w:tcW w:w="2674" w:type="dxa"/>
          </w:tcPr>
          <w:p w:rsidR="0029508E" w:rsidRDefault="004D60F6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承办单位</w:t>
            </w:r>
          </w:p>
        </w:tc>
      </w:tr>
      <w:tr w:rsidR="0029508E">
        <w:trPr>
          <w:jc w:val="center"/>
        </w:trPr>
        <w:tc>
          <w:tcPr>
            <w:tcW w:w="1018" w:type="dxa"/>
            <w:vAlign w:val="center"/>
          </w:tcPr>
          <w:p w:rsidR="0029508E" w:rsidRDefault="004D60F6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30" w:type="dxa"/>
            <w:vAlign w:val="center"/>
          </w:tcPr>
          <w:p w:rsidR="0029508E" w:rsidRDefault="004D60F6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浦口区促进集成电路产业高质量发展若干措施</w:t>
            </w:r>
          </w:p>
        </w:tc>
        <w:tc>
          <w:tcPr>
            <w:tcW w:w="2674" w:type="dxa"/>
            <w:vAlign w:val="center"/>
          </w:tcPr>
          <w:p w:rsidR="0029508E" w:rsidRDefault="004D60F6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区工信局、开发区、高新区</w:t>
            </w:r>
          </w:p>
        </w:tc>
      </w:tr>
      <w:tr w:rsidR="0029508E">
        <w:trPr>
          <w:jc w:val="center"/>
        </w:trPr>
        <w:tc>
          <w:tcPr>
            <w:tcW w:w="1018" w:type="dxa"/>
            <w:vAlign w:val="center"/>
          </w:tcPr>
          <w:p w:rsidR="0029508E" w:rsidRDefault="004D60F6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30" w:type="dxa"/>
            <w:vAlign w:val="center"/>
          </w:tcPr>
          <w:p w:rsidR="0029508E" w:rsidRDefault="004D60F6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扩大浦口区文明养犬重点管理区</w:t>
            </w:r>
          </w:p>
        </w:tc>
        <w:tc>
          <w:tcPr>
            <w:tcW w:w="2674" w:type="dxa"/>
            <w:vAlign w:val="center"/>
          </w:tcPr>
          <w:p w:rsidR="0029508E" w:rsidRDefault="004D60F6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南京市公安局浦口分局</w:t>
            </w:r>
          </w:p>
        </w:tc>
      </w:tr>
    </w:tbl>
    <w:p w:rsidR="0029508E" w:rsidRDefault="0029508E">
      <w:pPr>
        <w:rPr>
          <w:rFonts w:ascii="Times New Roman" w:hAnsi="Times New Roman" w:cs="Times New Roman"/>
        </w:rPr>
      </w:pPr>
    </w:p>
    <w:sectPr w:rsidR="0029508E" w:rsidSect="0029508E">
      <w:footerReference w:type="default" r:id="rId8"/>
      <w:pgSz w:w="11906" w:h="16838"/>
      <w:pgMar w:top="2098" w:right="1474" w:bottom="1984" w:left="1587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F6" w:rsidRDefault="004D60F6" w:rsidP="0029508E">
      <w:r>
        <w:separator/>
      </w:r>
    </w:p>
  </w:endnote>
  <w:endnote w:type="continuationSeparator" w:id="1">
    <w:p w:rsidR="004D60F6" w:rsidRDefault="004D60F6" w:rsidP="0029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E" w:rsidRDefault="002950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9508E" w:rsidRDefault="004D60F6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29508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9508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D7E08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29508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F6" w:rsidRDefault="004D60F6" w:rsidP="0029508E">
      <w:r>
        <w:separator/>
      </w:r>
    </w:p>
  </w:footnote>
  <w:footnote w:type="continuationSeparator" w:id="1">
    <w:p w:rsidR="004D60F6" w:rsidRDefault="004D60F6" w:rsidP="00295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D2B4"/>
    <w:multiLevelType w:val="singleLevel"/>
    <w:tmpl w:val="6A56D2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ZiM2I0ZjA5YzJlNDhiNzI3MzUxNTg0Y2RjOTllNGMifQ=="/>
  </w:docVars>
  <w:rsids>
    <w:rsidRoot w:val="0029508E"/>
    <w:rsid w:val="0029508E"/>
    <w:rsid w:val="004D60F6"/>
    <w:rsid w:val="00FD7E08"/>
    <w:rsid w:val="0A346FED"/>
    <w:rsid w:val="154B4829"/>
    <w:rsid w:val="16677B31"/>
    <w:rsid w:val="1A1A3838"/>
    <w:rsid w:val="20FA3A7C"/>
    <w:rsid w:val="27C2623F"/>
    <w:rsid w:val="3E2B5CAA"/>
    <w:rsid w:val="3F3B5533"/>
    <w:rsid w:val="3F922191"/>
    <w:rsid w:val="48C801FD"/>
    <w:rsid w:val="4BB52B12"/>
    <w:rsid w:val="4BFD4885"/>
    <w:rsid w:val="4D297313"/>
    <w:rsid w:val="5AB32912"/>
    <w:rsid w:val="5CA07C5C"/>
    <w:rsid w:val="5D1B318E"/>
    <w:rsid w:val="5F7D4849"/>
    <w:rsid w:val="608C5797"/>
    <w:rsid w:val="6E067826"/>
    <w:rsid w:val="6FF869A5"/>
    <w:rsid w:val="70052E70"/>
    <w:rsid w:val="75D7782E"/>
    <w:rsid w:val="79D00993"/>
    <w:rsid w:val="7C95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0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950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950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950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qFormat/>
    <w:rsid w:val="0029508E"/>
    <w:pPr>
      <w:topLinePunct/>
      <w:spacing w:line="290" w:lineRule="auto"/>
      <w:jc w:val="both"/>
    </w:pPr>
    <w:rPr>
      <w:rFonts w:ascii="方正仿宋_GBK" w:eastAsia="方正仿宋_GBK" w:hAnsi="宋体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张艳(zhangyan)</cp:lastModifiedBy>
  <cp:revision>2</cp:revision>
  <dcterms:created xsi:type="dcterms:W3CDTF">2023-07-27T06:44:00Z</dcterms:created>
  <dcterms:modified xsi:type="dcterms:W3CDTF">2023-07-31T07:47:00Z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EA3D31C24A2F4A2CA4AC5BC062E01142_13</vt:lpwstr>
  </property>
</Properties>
</file>