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1BFB">
      <w:pPr>
        <w:adjustRightInd w:val="0"/>
        <w:snapToGrid w:val="0"/>
        <w:spacing w:line="300" w:lineRule="auto"/>
        <w:jc w:val="center"/>
        <w:outlineLvl w:val="0"/>
        <w:rPr>
          <w:rFonts w:eastAsia="方正小标宋_GBK" w:cs="Times New Roman"/>
          <w:bCs/>
          <w:sz w:val="40"/>
          <w:szCs w:val="44"/>
          <w:highlight w:val="none"/>
          <w:u w:val="none"/>
        </w:rPr>
      </w:pPr>
      <w:r>
        <w:rPr>
          <w:rFonts w:hint="eastAsia" w:eastAsia="方正小标宋_GBK" w:cs="Times New Roman"/>
          <w:bCs/>
          <w:sz w:val="40"/>
          <w:szCs w:val="44"/>
          <w:highlight w:val="none"/>
          <w:u w:val="none"/>
        </w:rPr>
        <w:t>南京市</w:t>
      </w:r>
      <w:r>
        <w:rPr>
          <w:rFonts w:hint="eastAsia" w:eastAsia="方正小标宋_GBK" w:cs="Times New Roman"/>
          <w:bCs/>
          <w:sz w:val="40"/>
          <w:szCs w:val="44"/>
          <w:highlight w:val="none"/>
          <w:u w:val="none"/>
          <w:lang w:val="en-US" w:eastAsia="zh-CN"/>
        </w:rPr>
        <w:t>浦口</w:t>
      </w:r>
      <w:r>
        <w:rPr>
          <w:rFonts w:hint="eastAsia" w:eastAsia="方正小标宋_GBK" w:cs="Times New Roman"/>
          <w:bCs/>
          <w:sz w:val="40"/>
          <w:szCs w:val="44"/>
          <w:highlight w:val="none"/>
          <w:u w:val="none"/>
        </w:rPr>
        <w:t>区人民政府征地补偿安置方案公告</w:t>
      </w:r>
    </w:p>
    <w:p w14:paraId="6E44CD71">
      <w:pPr>
        <w:adjustRightInd w:val="0"/>
        <w:snapToGrid w:val="0"/>
        <w:spacing w:line="300" w:lineRule="auto"/>
        <w:jc w:val="center"/>
        <w:rPr>
          <w:rFonts w:eastAsia="方正仿宋_GBK" w:cs="Times New Roman"/>
          <w:bCs/>
          <w:sz w:val="32"/>
          <w:szCs w:val="32"/>
          <w:highlight w:val="none"/>
          <w:u w:val="none"/>
        </w:rPr>
      </w:pPr>
      <w:r>
        <w:rPr>
          <w:rFonts w:hint="eastAsia" w:eastAsia="方正仿宋_GBK" w:cs="Times New Roman"/>
          <w:bCs/>
          <w:sz w:val="32"/>
          <w:szCs w:val="32"/>
          <w:highlight w:val="none"/>
          <w:u w:val="none"/>
        </w:rPr>
        <w:t>宁（浦口区）征补安置〔2023〕47号</w:t>
      </w:r>
    </w:p>
    <w:p w14:paraId="25690CA6">
      <w:pPr>
        <w:adjustRightInd w:val="0"/>
        <w:snapToGrid w:val="0"/>
        <w:spacing w:line="300" w:lineRule="auto"/>
        <w:ind w:firstLine="640" w:firstLineChars="200"/>
        <w:rPr>
          <w:rFonts w:eastAsia="方正仿宋_GBK" w:cs="Times New Roman"/>
          <w:sz w:val="32"/>
          <w:szCs w:val="32"/>
          <w:highlight w:val="none"/>
          <w:u w:val="none"/>
        </w:rPr>
      </w:pPr>
    </w:p>
    <w:p w14:paraId="7082D520">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根据《中华人民共和国土地管理法》第四十七条、第四十八条，《中华人民共和国土地管理法实施条例》第二十七条、第二十八条，《江苏省土地管理条例》第三十七条，《市政府关于印发南京市集体土地征收补偿安置办法的通知》（宁政规字〔2022〕4号）第十一条的规定，依据宁（浦口区）拟征告〔2023〕20号公告开展的拟征收土地现状调查和社会稳定风险评估结果，现将拟订的绿水湾路（浦乌北路-滨江大道）</w:t>
      </w:r>
      <w:r>
        <w:rPr>
          <w:rFonts w:hint="eastAsia" w:eastAsia="方正仿宋_GBK" w:cs="Times New Roman"/>
          <w:sz w:val="32"/>
          <w:szCs w:val="32"/>
          <w:highlight w:val="none"/>
          <w:u w:val="none"/>
          <w:lang w:eastAsia="zh-CN"/>
        </w:rPr>
        <w:t>（浦口段）</w:t>
      </w:r>
      <w:r>
        <w:rPr>
          <w:rFonts w:hint="eastAsia" w:eastAsia="方正仿宋_GBK" w:cs="Times New Roman"/>
          <w:sz w:val="32"/>
          <w:szCs w:val="32"/>
          <w:highlight w:val="none"/>
          <w:u w:val="none"/>
          <w:lang w:val="en-US" w:eastAsia="zh-CN"/>
        </w:rPr>
        <w:t>项目</w:t>
      </w:r>
      <w:r>
        <w:rPr>
          <w:rFonts w:hint="eastAsia" w:eastAsia="方正仿宋_GBK" w:cs="Times New Roman"/>
          <w:sz w:val="32"/>
          <w:szCs w:val="32"/>
          <w:highlight w:val="none"/>
          <w:u w:val="none"/>
        </w:rPr>
        <w:t>征地补偿安置方案有关事项公告如下：</w:t>
      </w:r>
    </w:p>
    <w:p w14:paraId="6491F609">
      <w:pPr>
        <w:adjustRightInd w:val="0"/>
        <w:snapToGrid w:val="0"/>
        <w:spacing w:line="300" w:lineRule="auto"/>
        <w:ind w:firstLine="640" w:firstLineChars="200"/>
        <w:rPr>
          <w:rFonts w:eastAsia="方正黑体_GBK" w:cs="Times New Roman"/>
          <w:sz w:val="32"/>
          <w:szCs w:val="32"/>
          <w:highlight w:val="none"/>
          <w:u w:val="none"/>
        </w:rPr>
      </w:pPr>
      <w:r>
        <w:rPr>
          <w:rFonts w:hint="eastAsia" w:eastAsia="方正黑体_GBK" w:cs="Times New Roman"/>
          <w:sz w:val="32"/>
          <w:szCs w:val="32"/>
          <w:highlight w:val="none"/>
          <w:u w:val="none"/>
        </w:rPr>
        <w:t>一、征收范围</w:t>
      </w:r>
    </w:p>
    <w:p w14:paraId="3CF2F951">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本次拟征收土地位于江浦街道新合社区、宗巷组、和平二组、湾埂组范围内。拟征收土地位置详见附图。</w:t>
      </w:r>
    </w:p>
    <w:p w14:paraId="46A424FA">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实际征收土地范围以征地批准文件为准。</w:t>
      </w:r>
    </w:p>
    <w:p w14:paraId="4082B085">
      <w:pPr>
        <w:adjustRightInd w:val="0"/>
        <w:snapToGrid w:val="0"/>
        <w:spacing w:line="300" w:lineRule="auto"/>
        <w:ind w:firstLine="640" w:firstLineChars="200"/>
        <w:rPr>
          <w:rFonts w:eastAsia="方正黑体_GBK" w:cs="Times New Roman"/>
          <w:sz w:val="32"/>
          <w:szCs w:val="32"/>
          <w:highlight w:val="none"/>
          <w:u w:val="none"/>
        </w:rPr>
      </w:pPr>
      <w:r>
        <w:rPr>
          <w:rFonts w:hint="eastAsia" w:eastAsia="方正黑体_GBK" w:cs="Times New Roman"/>
          <w:sz w:val="32"/>
          <w:szCs w:val="32"/>
          <w:highlight w:val="none"/>
          <w:u w:val="none"/>
        </w:rPr>
        <w:t>二、土地现状</w:t>
      </w:r>
    </w:p>
    <w:p w14:paraId="29978D5D">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根据拟征收土地现状调查结果，本次拟征收土地现状如下：</w:t>
      </w:r>
    </w:p>
    <w:p w14:paraId="38CA4477">
      <w:pPr>
        <w:adjustRightInd w:val="0"/>
        <w:snapToGrid w:val="0"/>
        <w:spacing w:line="300" w:lineRule="auto"/>
        <w:ind w:firstLine="640" w:firstLineChars="200"/>
        <w:rPr>
          <w:rFonts w:hint="eastAsia" w:eastAsia="方正仿宋_GBK" w:cs="Times New Roman"/>
          <w:sz w:val="32"/>
          <w:szCs w:val="32"/>
          <w:highlight w:val="none"/>
          <w:u w:val="none"/>
          <w:lang w:eastAsia="zh-CN"/>
        </w:rPr>
      </w:pPr>
      <w:r>
        <w:rPr>
          <w:rFonts w:hint="eastAsia" w:eastAsia="方正仿宋_GBK" w:cs="Times New Roman"/>
          <w:sz w:val="32"/>
          <w:szCs w:val="32"/>
          <w:highlight w:val="none"/>
          <w:u w:val="none"/>
          <w:lang w:eastAsia="zh-CN"/>
        </w:rPr>
        <w:t>1</w:t>
      </w:r>
      <w:r>
        <w:rPr>
          <w:rFonts w:hint="eastAsia" w:eastAsia="方正仿宋_GBK" w:cs="Times New Roman"/>
          <w:sz w:val="32"/>
          <w:szCs w:val="32"/>
          <w:highlight w:val="none"/>
          <w:u w:val="none"/>
        </w:rPr>
        <w:t>、拟征收江浦街道新合社区集体所有土地1.9715公顷（29.5725亩）</w:t>
      </w:r>
      <w:r>
        <w:rPr>
          <w:rFonts w:hint="eastAsia" w:eastAsia="方正仿宋_GBK" w:cs="Times New Roman"/>
          <w:sz w:val="32"/>
          <w:szCs w:val="32"/>
          <w:highlight w:val="none"/>
          <w:u w:val="none"/>
          <w:lang w:eastAsia="zh-CN"/>
        </w:rPr>
        <w:t>。</w:t>
      </w:r>
      <w:r>
        <w:rPr>
          <w:rFonts w:hint="eastAsia" w:eastAsia="方正仿宋_GBK" w:cs="Times New Roman"/>
          <w:sz w:val="32"/>
          <w:szCs w:val="32"/>
          <w:highlight w:val="none"/>
          <w:u w:val="none"/>
        </w:rPr>
        <w:t>其中，农用地1.069公顷（16.035亩），含耕地0公顷（0亩）；建设用地0.5461公顷（8.1915亩），未利用地0.3564公顷（5.346亩）</w:t>
      </w:r>
      <w:r>
        <w:rPr>
          <w:rFonts w:hint="eastAsia" w:eastAsia="方正仿宋_GBK" w:cs="Times New Roman"/>
          <w:sz w:val="32"/>
          <w:szCs w:val="32"/>
          <w:highlight w:val="none"/>
          <w:u w:val="none"/>
          <w:lang w:eastAsia="zh-CN"/>
        </w:rPr>
        <w:t>；</w:t>
      </w:r>
    </w:p>
    <w:p w14:paraId="398F491E">
      <w:pPr>
        <w:adjustRightInd w:val="0"/>
        <w:snapToGrid w:val="0"/>
        <w:spacing w:line="300" w:lineRule="auto"/>
        <w:ind w:firstLine="640" w:firstLineChars="200"/>
        <w:rPr>
          <w:rFonts w:hint="eastAsia" w:eastAsia="方正仿宋_GBK" w:cs="Times New Roman"/>
          <w:sz w:val="32"/>
          <w:szCs w:val="32"/>
          <w:highlight w:val="none"/>
          <w:u w:val="none"/>
          <w:lang w:eastAsia="zh-CN"/>
        </w:rPr>
      </w:pPr>
      <w:r>
        <w:rPr>
          <w:rFonts w:hint="eastAsia" w:eastAsia="方正仿宋_GBK" w:cs="Times New Roman"/>
          <w:sz w:val="32"/>
          <w:szCs w:val="32"/>
          <w:highlight w:val="none"/>
          <w:u w:val="none"/>
          <w:lang w:eastAsia="zh-CN"/>
        </w:rPr>
        <w:t>2</w:t>
      </w:r>
      <w:r>
        <w:rPr>
          <w:rFonts w:hint="eastAsia" w:eastAsia="方正仿宋_GBK" w:cs="Times New Roman"/>
          <w:sz w:val="32"/>
          <w:szCs w:val="32"/>
          <w:highlight w:val="none"/>
          <w:u w:val="none"/>
        </w:rPr>
        <w:t>、拟征收江浦街道新合社区宗巷组集体所有土地2.2379公顷（33.5685亩）</w:t>
      </w:r>
      <w:r>
        <w:rPr>
          <w:rFonts w:hint="eastAsia" w:eastAsia="方正仿宋_GBK" w:cs="Times New Roman"/>
          <w:sz w:val="32"/>
          <w:szCs w:val="32"/>
          <w:highlight w:val="none"/>
          <w:u w:val="none"/>
          <w:lang w:eastAsia="zh-CN"/>
        </w:rPr>
        <w:t>。</w:t>
      </w:r>
      <w:r>
        <w:rPr>
          <w:rFonts w:hint="eastAsia" w:eastAsia="方正仿宋_GBK" w:cs="Times New Roman"/>
          <w:sz w:val="32"/>
          <w:szCs w:val="32"/>
          <w:highlight w:val="none"/>
          <w:u w:val="none"/>
        </w:rPr>
        <w:t>其中，农用地2.0376公顷（30.564亩），含耕地0.6381公顷（9.5715亩）；建设用地0.1943公顷（2.9145亩），未利用地0.006公顷（0.09亩）</w:t>
      </w:r>
      <w:r>
        <w:rPr>
          <w:rFonts w:hint="eastAsia" w:eastAsia="方正仿宋_GBK" w:cs="Times New Roman"/>
          <w:sz w:val="32"/>
          <w:szCs w:val="32"/>
          <w:highlight w:val="none"/>
          <w:u w:val="none"/>
          <w:lang w:eastAsia="zh-CN"/>
        </w:rPr>
        <w:t>；</w:t>
      </w:r>
    </w:p>
    <w:p w14:paraId="4845FFCD">
      <w:pPr>
        <w:adjustRightInd w:val="0"/>
        <w:snapToGrid w:val="0"/>
        <w:spacing w:line="300" w:lineRule="auto"/>
        <w:ind w:firstLine="640" w:firstLineChars="200"/>
        <w:rPr>
          <w:rFonts w:hint="eastAsia" w:eastAsia="方正仿宋_GBK" w:cs="Times New Roman"/>
          <w:sz w:val="32"/>
          <w:szCs w:val="32"/>
          <w:highlight w:val="none"/>
          <w:u w:val="none"/>
          <w:lang w:eastAsia="zh-CN"/>
        </w:rPr>
      </w:pPr>
      <w:r>
        <w:rPr>
          <w:rFonts w:hint="eastAsia" w:eastAsia="方正仿宋_GBK" w:cs="Times New Roman"/>
          <w:sz w:val="32"/>
          <w:szCs w:val="32"/>
          <w:highlight w:val="none"/>
          <w:u w:val="none"/>
          <w:lang w:eastAsia="zh-CN"/>
        </w:rPr>
        <w:t>3</w:t>
      </w:r>
      <w:r>
        <w:rPr>
          <w:rFonts w:hint="eastAsia" w:eastAsia="方正仿宋_GBK" w:cs="Times New Roman"/>
          <w:sz w:val="32"/>
          <w:szCs w:val="32"/>
          <w:highlight w:val="none"/>
          <w:u w:val="none"/>
        </w:rPr>
        <w:t>、拟征收江浦街道新合社区和平二组集体所有土地2.4019公顷（36.0285亩）</w:t>
      </w:r>
      <w:r>
        <w:rPr>
          <w:rFonts w:hint="eastAsia" w:eastAsia="方正仿宋_GBK" w:cs="Times New Roman"/>
          <w:sz w:val="32"/>
          <w:szCs w:val="32"/>
          <w:highlight w:val="none"/>
          <w:u w:val="none"/>
          <w:lang w:eastAsia="zh-CN"/>
        </w:rPr>
        <w:t>。</w:t>
      </w:r>
      <w:r>
        <w:rPr>
          <w:rFonts w:hint="eastAsia" w:eastAsia="方正仿宋_GBK" w:cs="Times New Roman"/>
          <w:sz w:val="32"/>
          <w:szCs w:val="32"/>
          <w:highlight w:val="none"/>
          <w:u w:val="none"/>
        </w:rPr>
        <w:t>其中，农用地1.5427公顷（23.1405亩），含耕地0.2101公顷（3.1515亩）；建设用地0.8592公顷（12.888亩），未利用地0公顷（0亩）</w:t>
      </w:r>
      <w:r>
        <w:rPr>
          <w:rFonts w:hint="eastAsia" w:eastAsia="方正仿宋_GBK" w:cs="Times New Roman"/>
          <w:sz w:val="32"/>
          <w:szCs w:val="32"/>
          <w:highlight w:val="none"/>
          <w:u w:val="none"/>
          <w:lang w:eastAsia="zh-CN"/>
        </w:rPr>
        <w:t>；</w:t>
      </w:r>
    </w:p>
    <w:p w14:paraId="5ABADF74">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lang w:eastAsia="zh-CN"/>
        </w:rPr>
        <w:t>4</w:t>
      </w:r>
      <w:r>
        <w:rPr>
          <w:rFonts w:hint="eastAsia" w:eastAsia="方正仿宋_GBK" w:cs="Times New Roman"/>
          <w:sz w:val="32"/>
          <w:szCs w:val="32"/>
          <w:highlight w:val="none"/>
          <w:u w:val="none"/>
        </w:rPr>
        <w:t>、拟征收江浦街道新合社区湾埂组集体所有土地0.8326公顷（12.489亩）</w:t>
      </w:r>
      <w:r>
        <w:rPr>
          <w:rFonts w:hint="eastAsia" w:eastAsia="方正仿宋_GBK" w:cs="Times New Roman"/>
          <w:sz w:val="32"/>
          <w:szCs w:val="32"/>
          <w:highlight w:val="none"/>
          <w:u w:val="none"/>
          <w:lang w:eastAsia="zh-CN"/>
        </w:rPr>
        <w:t>。</w:t>
      </w:r>
      <w:r>
        <w:rPr>
          <w:rFonts w:hint="eastAsia" w:eastAsia="方正仿宋_GBK" w:cs="Times New Roman"/>
          <w:sz w:val="32"/>
          <w:szCs w:val="32"/>
          <w:highlight w:val="none"/>
          <w:u w:val="none"/>
        </w:rPr>
        <w:t>其中，农用地0.5666公顷（8.499亩），含耕地0公顷（0亩）；建设用地0.266公顷（3.99亩），未利用地0公顷（0亩）</w:t>
      </w:r>
      <w:r>
        <w:rPr>
          <w:rFonts w:hint="eastAsia" w:eastAsia="方正仿宋_GBK" w:cs="Times New Roman"/>
          <w:sz w:val="32"/>
          <w:szCs w:val="32"/>
          <w:highlight w:val="none"/>
          <w:u w:val="none"/>
          <w:lang w:eastAsia="zh-CN"/>
        </w:rPr>
        <w:t>；</w:t>
      </w:r>
    </w:p>
    <w:p w14:paraId="0971CC9E">
      <w:pPr>
        <w:adjustRightInd w:val="0"/>
        <w:snapToGrid w:val="0"/>
        <w:spacing w:line="300" w:lineRule="auto"/>
        <w:ind w:firstLine="640" w:firstLineChars="200"/>
        <w:rPr>
          <w:rFonts w:eastAsia="方正黑体_GBK" w:cs="Times New Roman"/>
          <w:sz w:val="32"/>
          <w:szCs w:val="32"/>
          <w:highlight w:val="none"/>
          <w:u w:val="none"/>
        </w:rPr>
      </w:pPr>
      <w:r>
        <w:rPr>
          <w:rFonts w:hint="eastAsia" w:eastAsia="方正黑体_GBK" w:cs="Times New Roman"/>
          <w:sz w:val="32"/>
          <w:szCs w:val="32"/>
          <w:highlight w:val="none"/>
          <w:u w:val="none"/>
        </w:rPr>
        <w:t>三、征收目的</w:t>
      </w:r>
    </w:p>
    <w:p w14:paraId="20C701CA">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根据《中华人民共和国土地管理法》第四十五条的规定，本次征收土地目的为由政府组织实施的能源、交通、水利、通信、邮政等基础设施建设需要用地的。</w:t>
      </w:r>
    </w:p>
    <w:p w14:paraId="6598EE2A">
      <w:pPr>
        <w:adjustRightInd w:val="0"/>
        <w:snapToGrid w:val="0"/>
        <w:spacing w:line="300" w:lineRule="auto"/>
        <w:ind w:firstLine="640" w:firstLineChars="200"/>
        <w:rPr>
          <w:rFonts w:eastAsia="方正黑体_GBK" w:cs="Times New Roman"/>
          <w:sz w:val="32"/>
          <w:szCs w:val="32"/>
          <w:highlight w:val="none"/>
          <w:u w:val="none"/>
        </w:rPr>
      </w:pPr>
      <w:r>
        <w:rPr>
          <w:rFonts w:hint="eastAsia" w:eastAsia="方正黑体_GBK" w:cs="Times New Roman"/>
          <w:sz w:val="32"/>
          <w:szCs w:val="32"/>
          <w:highlight w:val="none"/>
          <w:u w:val="none"/>
        </w:rPr>
        <w:t>四、补偿方式与标准</w:t>
      </w:r>
    </w:p>
    <w:p w14:paraId="6C7DCC42">
      <w:pPr>
        <w:pStyle w:val="2"/>
        <w:adjustRightInd w:val="0"/>
        <w:spacing w:line="300" w:lineRule="auto"/>
        <w:ind w:firstLine="640" w:firstLineChars="200"/>
        <w:jc w:val="both"/>
        <w:rPr>
          <w:rFonts w:ascii="Times New Roman" w:hAnsi="Times New Roman" w:eastAsia="方正仿宋_GBK" w:cs="Times New Roman"/>
          <w:kern w:val="2"/>
          <w:highlight w:val="none"/>
          <w:u w:val="none"/>
          <w:lang w:val="en-US" w:bidi="ar-SA"/>
        </w:rPr>
      </w:pPr>
      <w:r>
        <w:rPr>
          <w:rFonts w:hint="eastAsia" w:ascii="Times New Roman" w:hAnsi="Times New Roman" w:eastAsia="方正仿宋_GBK" w:cs="Times New Roman"/>
          <w:kern w:val="2"/>
          <w:highlight w:val="none"/>
          <w:u w:val="none"/>
          <w:lang w:val="en-US" w:bidi="ar-SA"/>
        </w:rPr>
        <w:t>（一）土地补偿费和安置补助费标准</w:t>
      </w:r>
    </w:p>
    <w:p w14:paraId="77FAB31F">
      <w:pPr>
        <w:pStyle w:val="2"/>
        <w:adjustRightInd w:val="0"/>
        <w:spacing w:line="300" w:lineRule="auto"/>
        <w:ind w:right="435" w:rightChars="207" w:firstLine="640" w:firstLineChars="200"/>
        <w:jc w:val="both"/>
        <w:rPr>
          <w:rFonts w:ascii="Times New Roman" w:hAnsi="Times New Roman" w:eastAsia="方正仿宋_GBK" w:cs="Times New Roman"/>
          <w:kern w:val="2"/>
          <w:highlight w:val="none"/>
          <w:u w:val="none"/>
          <w:lang w:val="en-US" w:bidi="ar-SA"/>
        </w:rPr>
      </w:pPr>
      <w:r>
        <w:rPr>
          <w:rFonts w:hint="eastAsia" w:ascii="Times New Roman" w:hAnsi="Times New Roman" w:eastAsia="方正仿宋_GBK" w:cs="Times New Roman"/>
          <w:kern w:val="2"/>
          <w:highlight w:val="none"/>
          <w:u w:val="none"/>
          <w:lang w:val="en-US" w:bidi="ar-SA"/>
        </w:rPr>
        <w:t>按《浦口区政府关于公布浦口区征地区片综合地价执行标准的通知》（浦政发〔2020〕108号）的规定执行。</w:t>
      </w:r>
    </w:p>
    <w:p w14:paraId="6CC8E61C">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（二）房屋以外的其他地上附着物和青苗补偿标准</w:t>
      </w:r>
    </w:p>
    <w:p w14:paraId="33C6A0EE">
      <w:pPr>
        <w:adjustRightInd w:val="0"/>
        <w:snapToGrid w:val="0"/>
        <w:spacing w:line="300" w:lineRule="auto"/>
        <w:ind w:firstLine="640" w:firstLineChars="200"/>
        <w:rPr>
          <w:rFonts w:hint="eastAsia" w:eastAsia="方正仿宋_GBK" w:cs="Times New Roman"/>
          <w:sz w:val="32"/>
          <w:szCs w:val="32"/>
          <w:highlight w:val="none"/>
          <w:u w:val="none"/>
        </w:rPr>
      </w:pPr>
      <w:r>
        <w:rPr>
          <w:rFonts w:hint="eastAsia" w:eastAsia="方正仿宋_GBK" w:cs="Times New Roman"/>
          <w:sz w:val="32"/>
          <w:szCs w:val="32"/>
          <w:highlight w:val="none"/>
          <w:u w:val="none"/>
        </w:rPr>
        <w:t>按《关于调整浦口区青苗和地上附着物征地补偿标准的通知》（浦规划资源〔2020〕158号）的规定执行。</w:t>
      </w:r>
    </w:p>
    <w:p w14:paraId="3707F1E1">
      <w:pPr>
        <w:adjustRightInd w:val="0"/>
        <w:snapToGrid w:val="0"/>
        <w:spacing w:line="300" w:lineRule="auto"/>
        <w:ind w:firstLine="640" w:firstLineChars="200"/>
        <w:rPr>
          <w:rFonts w:eastAsia="方正黑体_GBK" w:cs="Times New Roman"/>
          <w:sz w:val="32"/>
          <w:szCs w:val="32"/>
          <w:highlight w:val="none"/>
          <w:u w:val="none"/>
        </w:rPr>
      </w:pPr>
      <w:r>
        <w:rPr>
          <w:rFonts w:hint="eastAsia" w:eastAsia="方正黑体_GBK" w:cs="Times New Roman"/>
          <w:sz w:val="32"/>
          <w:szCs w:val="32"/>
          <w:highlight w:val="none"/>
          <w:u w:val="none"/>
        </w:rPr>
        <w:t>五、安置对象、方式及社会保障</w:t>
      </w:r>
    </w:p>
    <w:p w14:paraId="3370358B">
      <w:pPr>
        <w:pStyle w:val="2"/>
        <w:adjustRightInd w:val="0"/>
        <w:spacing w:line="300" w:lineRule="auto"/>
        <w:ind w:firstLine="640" w:firstLineChars="200"/>
        <w:jc w:val="both"/>
        <w:rPr>
          <w:rFonts w:hint="eastAsia" w:ascii="Times New Roman" w:hAnsi="Times New Roman" w:eastAsia="方正仿宋_GBK" w:cs="Times New Roman"/>
          <w:kern w:val="2"/>
          <w:highlight w:val="none"/>
          <w:u w:val="none"/>
          <w:lang w:val="en-US" w:bidi="ar-SA"/>
        </w:rPr>
      </w:pPr>
      <w:r>
        <w:rPr>
          <w:rFonts w:hint="eastAsia" w:ascii="Times New Roman" w:hAnsi="Times New Roman" w:eastAsia="方正仿宋_GBK" w:cs="Times New Roman"/>
          <w:highlight w:val="none"/>
          <w:u w:val="none"/>
        </w:rPr>
        <w:t>本次征收土地涉及被征地农民的安置和社会保障按照《江苏省被征地农民社会保障办法》（苏政发〔</w:t>
      </w:r>
      <w:r>
        <w:rPr>
          <w:rFonts w:ascii="Times New Roman" w:hAnsi="Times New Roman" w:eastAsia="方正仿宋_GBK" w:cs="Times New Roman"/>
          <w:highlight w:val="none"/>
          <w:u w:val="none"/>
        </w:rPr>
        <w:t>2021</w:t>
      </w:r>
      <w:r>
        <w:rPr>
          <w:rFonts w:hint="eastAsia" w:ascii="Times New Roman" w:hAnsi="Times New Roman" w:eastAsia="方正仿宋_GBK" w:cs="Times New Roman"/>
          <w:highlight w:val="none"/>
          <w:u w:val="none"/>
        </w:rPr>
        <w:t>〕</w:t>
      </w:r>
      <w:r>
        <w:rPr>
          <w:rFonts w:ascii="Times New Roman" w:hAnsi="Times New Roman" w:eastAsia="方正仿宋_GBK" w:cs="Times New Roman"/>
          <w:highlight w:val="none"/>
          <w:u w:val="none"/>
        </w:rPr>
        <w:t>87</w:t>
      </w:r>
      <w:r>
        <w:rPr>
          <w:rFonts w:hint="eastAsia" w:ascii="Times New Roman" w:hAnsi="Times New Roman" w:eastAsia="方正仿宋_GBK" w:cs="Times New Roman"/>
          <w:highlight w:val="none"/>
          <w:u w:val="none"/>
        </w:rPr>
        <w:t>号）</w:t>
      </w:r>
      <w:r>
        <w:rPr>
          <w:rFonts w:hint="eastAsia" w:ascii="Times New Roman" w:hAnsi="Times New Roman" w:eastAsia="方正仿宋_GBK" w:cs="Times New Roman"/>
          <w:kern w:val="2"/>
          <w:highlight w:val="none"/>
          <w:u w:val="none"/>
          <w:lang w:val="en-US" w:bidi="ar-SA"/>
        </w:rPr>
        <w:t>《市政府关于贯彻落实</w:t>
      </w:r>
      <w:r>
        <w:rPr>
          <w:rFonts w:ascii="Times New Roman" w:hAnsi="Times New Roman" w:eastAsia="方正仿宋_GBK" w:cs="Times New Roman"/>
          <w:kern w:val="2"/>
          <w:highlight w:val="none"/>
          <w:u w:val="none"/>
          <w:lang w:val="en-US" w:bidi="ar-SA"/>
        </w:rPr>
        <w:t>&lt;</w:t>
      </w:r>
      <w:r>
        <w:rPr>
          <w:rFonts w:hint="eastAsia" w:ascii="Times New Roman" w:hAnsi="Times New Roman" w:eastAsia="方正仿宋_GBK" w:cs="Times New Roman"/>
          <w:kern w:val="2"/>
          <w:highlight w:val="none"/>
          <w:u w:val="none"/>
          <w:lang w:val="en-US" w:bidi="ar-SA"/>
        </w:rPr>
        <w:t>江苏</w:t>
      </w:r>
      <w:bookmarkStart w:id="0" w:name="_GoBack"/>
      <w:bookmarkEnd w:id="0"/>
      <w:r>
        <w:rPr>
          <w:rFonts w:hint="eastAsia" w:ascii="Times New Roman" w:hAnsi="Times New Roman" w:eastAsia="方正仿宋_GBK" w:cs="Times New Roman"/>
          <w:kern w:val="2"/>
          <w:highlight w:val="none"/>
          <w:u w:val="none"/>
          <w:lang w:val="en-US" w:bidi="ar-SA"/>
        </w:rPr>
        <w:t>省被征地农民社会保障办法</w:t>
      </w:r>
      <w:r>
        <w:rPr>
          <w:rFonts w:ascii="Times New Roman" w:hAnsi="Times New Roman" w:eastAsia="方正仿宋_GBK" w:cs="Times New Roman"/>
          <w:kern w:val="2"/>
          <w:highlight w:val="none"/>
          <w:u w:val="none"/>
          <w:lang w:val="en-US" w:bidi="ar-SA"/>
        </w:rPr>
        <w:t>&gt;</w:t>
      </w:r>
      <w:r>
        <w:rPr>
          <w:rFonts w:hint="eastAsia" w:ascii="Times New Roman" w:hAnsi="Times New Roman" w:eastAsia="方正仿宋_GBK" w:cs="Times New Roman"/>
          <w:kern w:val="2"/>
          <w:highlight w:val="none"/>
          <w:u w:val="none"/>
          <w:lang w:val="en-US" w:bidi="ar-SA"/>
        </w:rPr>
        <w:t>的实施意见》（宁政规字</w:t>
      </w:r>
      <w:r>
        <w:rPr>
          <w:rFonts w:hint="eastAsia" w:ascii="Times New Roman" w:hAnsi="Times New Roman" w:eastAsia="方正仿宋_GBK" w:cs="Times New Roman"/>
          <w:highlight w:val="none"/>
          <w:u w:val="none"/>
        </w:rPr>
        <w:t>〔</w:t>
      </w:r>
      <w:r>
        <w:rPr>
          <w:rFonts w:ascii="Times New Roman" w:hAnsi="Times New Roman" w:eastAsia="方正仿宋_GBK" w:cs="Times New Roman"/>
          <w:highlight w:val="none"/>
          <w:u w:val="none"/>
        </w:rPr>
        <w:t>202</w:t>
      </w:r>
      <w:r>
        <w:rPr>
          <w:rFonts w:ascii="Times New Roman" w:hAnsi="Times New Roman" w:eastAsia="方正仿宋_GBK" w:cs="Times New Roman"/>
          <w:highlight w:val="none"/>
          <w:u w:val="none"/>
          <w:lang w:val="en-US"/>
        </w:rPr>
        <w:t>2</w:t>
      </w:r>
      <w:r>
        <w:rPr>
          <w:rFonts w:hint="eastAsia" w:ascii="Times New Roman" w:hAnsi="Times New Roman" w:eastAsia="方正仿宋_GBK" w:cs="Times New Roman"/>
          <w:highlight w:val="none"/>
          <w:u w:val="none"/>
        </w:rPr>
        <w:t>〕</w:t>
      </w:r>
      <w:r>
        <w:rPr>
          <w:rFonts w:ascii="Times New Roman" w:hAnsi="Times New Roman" w:eastAsia="方正仿宋_GBK" w:cs="Times New Roman"/>
          <w:kern w:val="2"/>
          <w:highlight w:val="none"/>
          <w:u w:val="none"/>
          <w:lang w:val="en-US" w:bidi="ar-SA"/>
        </w:rPr>
        <w:t>2</w:t>
      </w:r>
      <w:r>
        <w:rPr>
          <w:rFonts w:hint="eastAsia" w:ascii="Times New Roman" w:hAnsi="Times New Roman" w:eastAsia="方正仿宋_GBK" w:cs="Times New Roman"/>
          <w:kern w:val="2"/>
          <w:highlight w:val="none"/>
          <w:u w:val="none"/>
          <w:lang w:val="en-US" w:bidi="ar-SA"/>
        </w:rPr>
        <w:t>号）和</w:t>
      </w:r>
      <w:r>
        <w:rPr>
          <w:rFonts w:hint="eastAsia" w:ascii="Times New Roman" w:hAnsi="Times New Roman" w:eastAsia="方正仿宋_GBK" w:cs="Times New Roman"/>
          <w:highlight w:val="none"/>
          <w:u w:val="none"/>
        </w:rPr>
        <w:t>《市政府关于印发南京市集体土地征收补偿安置办法的通知》（宁政规字〔2022〕4号）</w:t>
      </w:r>
      <w:r>
        <w:rPr>
          <w:rFonts w:hint="eastAsia" w:ascii="Times New Roman" w:hAnsi="Times New Roman" w:eastAsia="方正仿宋_GBK" w:cs="Times New Roman"/>
          <w:kern w:val="2"/>
          <w:highlight w:val="none"/>
          <w:u w:val="none"/>
          <w:lang w:val="en-US" w:bidi="ar-SA"/>
        </w:rPr>
        <w:t>的规定执行。</w:t>
      </w:r>
    </w:p>
    <w:p w14:paraId="0C03FCE6">
      <w:pPr>
        <w:adjustRightInd w:val="0"/>
        <w:snapToGrid w:val="0"/>
        <w:spacing w:line="300" w:lineRule="auto"/>
        <w:ind w:firstLine="640" w:firstLineChars="200"/>
        <w:rPr>
          <w:rFonts w:eastAsia="方正黑体_GBK" w:cs="Times New Roman"/>
          <w:sz w:val="32"/>
          <w:szCs w:val="32"/>
          <w:highlight w:val="none"/>
          <w:u w:val="none"/>
        </w:rPr>
      </w:pPr>
      <w:r>
        <w:rPr>
          <w:rFonts w:hint="eastAsia" w:eastAsia="方正黑体_GBK" w:cs="Times New Roman"/>
          <w:sz w:val="32"/>
          <w:szCs w:val="32"/>
          <w:highlight w:val="none"/>
          <w:u w:val="none"/>
        </w:rPr>
        <w:t>六、其他事项</w:t>
      </w:r>
    </w:p>
    <w:p w14:paraId="746DD830">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（一）本公告在</w:t>
      </w:r>
      <w:r>
        <w:rPr>
          <w:rFonts w:hint="eastAsia" w:eastAsia="方正仿宋_GBK" w:cs="Times New Roman"/>
          <w:sz w:val="32"/>
          <w:szCs w:val="32"/>
          <w:highlight w:val="none"/>
          <w:u w:val="none"/>
          <w:lang w:val="en-US" w:eastAsia="zh-CN"/>
        </w:rPr>
        <w:t>南京市浦口区</w:t>
      </w:r>
      <w:r>
        <w:rPr>
          <w:rFonts w:hint="eastAsia" w:eastAsia="方正仿宋_GBK" w:cs="Times New Roman"/>
          <w:sz w:val="32"/>
          <w:szCs w:val="32"/>
          <w:highlight w:val="none"/>
          <w:u w:val="none"/>
        </w:rPr>
        <w:t>政府门户网站（http://www.pukou.gov.cn）和拟征收土地涉及的农村集体经济组织所在街道（镇）和村、村民小组范围内进行公告，听取被征地的农村集体经济组织及其成员、村民委员会和其它利害关系人的意见。本公告公示期为</w:t>
      </w:r>
      <w:r>
        <w:rPr>
          <w:rFonts w:eastAsia="方正仿宋_GBK" w:cs="Times New Roman"/>
          <w:sz w:val="32"/>
          <w:szCs w:val="32"/>
          <w:highlight w:val="none"/>
          <w:u w:val="none"/>
        </w:rPr>
        <w:t>30</w:t>
      </w:r>
      <w:r>
        <w:rPr>
          <w:rFonts w:hint="eastAsia" w:eastAsia="方正仿宋_GBK" w:cs="Times New Roman"/>
          <w:sz w:val="32"/>
          <w:szCs w:val="32"/>
          <w:highlight w:val="none"/>
          <w:u w:val="none"/>
        </w:rPr>
        <w:t>日，自</w:t>
      </w:r>
      <w:r>
        <w:rPr>
          <w:rFonts w:hint="eastAsia" w:eastAsia="方正仿宋_GBK" w:cs="Times New Roman"/>
          <w:sz w:val="32"/>
          <w:szCs w:val="32"/>
          <w:highlight w:val="none"/>
          <w:u w:val="none"/>
          <w:lang w:val="en-US" w:eastAsia="zh-CN"/>
        </w:rPr>
        <w:t>2023年11月23日</w:t>
      </w:r>
      <w:r>
        <w:rPr>
          <w:rFonts w:hint="eastAsia" w:eastAsia="方正仿宋_GBK" w:cs="Times New Roman"/>
          <w:sz w:val="32"/>
          <w:szCs w:val="32"/>
          <w:highlight w:val="none"/>
          <w:u w:val="none"/>
        </w:rPr>
        <w:t>至</w:t>
      </w:r>
      <w:r>
        <w:rPr>
          <w:rFonts w:hint="eastAsia" w:eastAsia="方正仿宋_GBK" w:cs="Times New Roman"/>
          <w:sz w:val="32"/>
          <w:szCs w:val="32"/>
          <w:highlight w:val="none"/>
          <w:u w:val="none"/>
          <w:lang w:val="en-US" w:eastAsia="zh-CN"/>
        </w:rPr>
        <w:t>2023</w:t>
      </w:r>
      <w:r>
        <w:rPr>
          <w:rFonts w:hint="eastAsia" w:eastAsia="方正仿宋_GBK" w:cs="Times New Roman"/>
          <w:sz w:val="32"/>
          <w:szCs w:val="32"/>
          <w:highlight w:val="none"/>
          <w:u w:val="none"/>
          <w:lang w:eastAsia="zh-CN"/>
        </w:rPr>
        <w:t>年</w:t>
      </w:r>
      <w:r>
        <w:rPr>
          <w:rFonts w:hint="eastAsia" w:eastAsia="方正仿宋_GBK" w:cs="Times New Roman"/>
          <w:sz w:val="32"/>
          <w:szCs w:val="32"/>
          <w:highlight w:val="none"/>
          <w:u w:val="none"/>
          <w:lang w:val="en-US" w:eastAsia="zh-CN"/>
        </w:rPr>
        <w:t>12</w:t>
      </w:r>
      <w:r>
        <w:rPr>
          <w:rFonts w:hint="eastAsia" w:eastAsia="方正仿宋_GBK" w:cs="Times New Roman"/>
          <w:sz w:val="32"/>
          <w:szCs w:val="32"/>
          <w:highlight w:val="none"/>
          <w:u w:val="none"/>
          <w:lang w:eastAsia="zh-CN"/>
        </w:rPr>
        <w:t>月</w:t>
      </w:r>
      <w:r>
        <w:rPr>
          <w:rFonts w:hint="eastAsia" w:eastAsia="方正仿宋_GBK" w:cs="Times New Roman"/>
          <w:sz w:val="32"/>
          <w:szCs w:val="32"/>
          <w:highlight w:val="none"/>
          <w:u w:val="none"/>
          <w:lang w:val="en-US" w:eastAsia="zh-CN"/>
        </w:rPr>
        <w:t>22</w:t>
      </w:r>
      <w:r>
        <w:rPr>
          <w:rFonts w:hint="eastAsia" w:eastAsia="方正仿宋_GBK" w:cs="Times New Roman"/>
          <w:sz w:val="32"/>
          <w:szCs w:val="32"/>
          <w:highlight w:val="none"/>
          <w:u w:val="none"/>
          <w:lang w:eastAsia="zh-CN"/>
        </w:rPr>
        <w:t>日</w:t>
      </w:r>
      <w:r>
        <w:rPr>
          <w:rFonts w:hint="eastAsia" w:eastAsia="方正仿宋_GBK" w:cs="Times New Roman"/>
          <w:sz w:val="32"/>
          <w:szCs w:val="32"/>
          <w:highlight w:val="none"/>
          <w:u w:val="none"/>
        </w:rPr>
        <w:t>。</w:t>
      </w:r>
    </w:p>
    <w:p w14:paraId="504E1722">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（二）对本征地补偿安置方案有异议的，应在本公告发布之日起</w:t>
      </w:r>
      <w:r>
        <w:rPr>
          <w:rFonts w:eastAsia="方正仿宋_GBK" w:cs="Times New Roman"/>
          <w:sz w:val="32"/>
          <w:szCs w:val="32"/>
          <w:highlight w:val="none"/>
          <w:u w:val="none"/>
        </w:rPr>
        <w:t>30</w:t>
      </w:r>
      <w:r>
        <w:rPr>
          <w:rFonts w:hint="eastAsia" w:eastAsia="方正仿宋_GBK" w:cs="Times New Roman"/>
          <w:sz w:val="32"/>
          <w:szCs w:val="32"/>
          <w:highlight w:val="none"/>
          <w:u w:val="none"/>
        </w:rPr>
        <w:t>日内（截</w:t>
      </w:r>
      <w:r>
        <w:rPr>
          <w:rFonts w:hint="eastAsia" w:eastAsia="方正仿宋_GBK" w:cs="Times New Roman"/>
          <w:sz w:val="32"/>
          <w:szCs w:val="32"/>
          <w:highlight w:val="none"/>
          <w:u w:val="none"/>
          <w:lang w:val="en-US" w:eastAsia="zh-CN"/>
        </w:rPr>
        <w:t>至2023年12月22日</w:t>
      </w:r>
      <w:r>
        <w:rPr>
          <w:rFonts w:hint="eastAsia" w:eastAsia="方正仿宋_GBK" w:cs="Times New Roman"/>
          <w:sz w:val="32"/>
          <w:szCs w:val="32"/>
          <w:highlight w:val="none"/>
          <w:u w:val="none"/>
        </w:rPr>
        <w:t>）提出，实名签名或者盖章的书面意见最迟应当于公告期满后</w:t>
      </w:r>
      <w:r>
        <w:rPr>
          <w:rFonts w:eastAsia="方正仿宋_GBK" w:cs="Times New Roman"/>
          <w:sz w:val="32"/>
          <w:szCs w:val="32"/>
          <w:highlight w:val="none"/>
          <w:u w:val="none"/>
        </w:rPr>
        <w:t>5</w:t>
      </w:r>
      <w:r>
        <w:rPr>
          <w:rFonts w:hint="eastAsia" w:eastAsia="方正仿宋_GBK" w:cs="Times New Roman"/>
          <w:sz w:val="32"/>
          <w:szCs w:val="32"/>
          <w:highlight w:val="none"/>
          <w:u w:val="none"/>
        </w:rPr>
        <w:t>个工作日内提交。提交地址为：江浦</w:t>
      </w:r>
      <w:r>
        <w:rPr>
          <w:rFonts w:hint="eastAsia" w:eastAsia="方正仿宋_GBK" w:cs="Times New Roman"/>
          <w:sz w:val="32"/>
          <w:szCs w:val="32"/>
          <w:highlight w:val="none"/>
          <w:u w:val="none"/>
          <w:lang w:val="en-US" w:eastAsia="zh-CN"/>
        </w:rPr>
        <w:t>街道办事处</w:t>
      </w:r>
      <w:r>
        <w:rPr>
          <w:rFonts w:hint="eastAsia" w:eastAsia="方正仿宋_GBK" w:cs="Times New Roman"/>
          <w:sz w:val="32"/>
          <w:szCs w:val="32"/>
          <w:highlight w:val="none"/>
          <w:u w:val="none"/>
        </w:rPr>
        <w:t>（联系人：戚瑶瑶；电话：15715193711；邮编：211800）。以邮寄方式寄送书面意见的以寄出邮戳日期为准。书面意见应当明确、具体，认为本征地补偿安置方案不符合法律、法规规定，应当予以明示。在规定时间内未提交书面意见的，视为无异议。</w:t>
      </w:r>
    </w:p>
    <w:p w14:paraId="77A393E8">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（三）如过半数被征地的农村集体经济组织成员认为本征地补偿安置方案不符合法律、法规规定的，或者</w:t>
      </w:r>
      <w:r>
        <w:rPr>
          <w:rFonts w:hint="eastAsia" w:eastAsia="方正仿宋_GBK" w:cs="Times New Roman"/>
          <w:bCs/>
          <w:sz w:val="32"/>
          <w:szCs w:val="32"/>
          <w:highlight w:val="none"/>
          <w:u w:val="none"/>
        </w:rPr>
        <w:t>虽未过半数但有部分被征地的农村集体经济组织成员认为征地补偿安置方案不符合法律、法规规定，本级人民政府认为确有必要的</w:t>
      </w:r>
      <w:r>
        <w:rPr>
          <w:rFonts w:hint="eastAsia" w:eastAsia="方正仿宋_GBK" w:cs="Times New Roman"/>
          <w:sz w:val="32"/>
          <w:szCs w:val="32"/>
          <w:highlight w:val="none"/>
          <w:u w:val="none"/>
        </w:rPr>
        <w:t>，</w:t>
      </w:r>
      <w:r>
        <w:rPr>
          <w:rFonts w:hint="eastAsia" w:eastAsia="方正仿宋_GBK" w:cs="Times New Roman"/>
          <w:sz w:val="32"/>
          <w:szCs w:val="32"/>
          <w:highlight w:val="none"/>
          <w:u w:val="none"/>
          <w:lang w:val="en-US" w:eastAsia="zh-CN"/>
        </w:rPr>
        <w:t>南京市浦口区</w:t>
      </w:r>
      <w:r>
        <w:rPr>
          <w:rFonts w:hint="eastAsia" w:eastAsia="方正仿宋_GBK" w:cs="Times New Roman"/>
          <w:sz w:val="32"/>
          <w:szCs w:val="32"/>
          <w:highlight w:val="none"/>
          <w:u w:val="none"/>
        </w:rPr>
        <w:t>人民政府将依法组织听证，相关事项另行通知。</w:t>
      </w:r>
    </w:p>
    <w:p w14:paraId="63230B8C">
      <w:pPr>
        <w:adjustRightInd w:val="0"/>
        <w:snapToGrid w:val="0"/>
        <w:spacing w:line="300" w:lineRule="auto"/>
        <w:ind w:firstLine="640" w:firstLineChars="200"/>
        <w:rPr>
          <w:rFonts w:hint="eastAsia" w:eastAsia="方正仿宋_GBK" w:cs="Times New Roman"/>
          <w:sz w:val="32"/>
          <w:szCs w:val="32"/>
          <w:highlight w:val="none"/>
          <w:u w:val="none"/>
        </w:rPr>
      </w:pPr>
      <w:r>
        <w:rPr>
          <w:rFonts w:hint="eastAsia" w:eastAsia="方正仿宋_GBK" w:cs="Times New Roman"/>
          <w:sz w:val="32"/>
          <w:szCs w:val="32"/>
          <w:highlight w:val="none"/>
          <w:u w:val="none"/>
        </w:rPr>
        <w:t>（四）拟征收土地范围内的土地所有权人、使用权人应当在本公告规定期限内即</w:t>
      </w:r>
      <w:r>
        <w:rPr>
          <w:rFonts w:hint="eastAsia" w:eastAsia="方正仿宋_GBK" w:cs="Times New Roman"/>
          <w:sz w:val="32"/>
          <w:szCs w:val="32"/>
          <w:highlight w:val="none"/>
          <w:u w:val="none"/>
          <w:lang w:val="en-US" w:eastAsia="zh-CN"/>
        </w:rPr>
        <w:t>2023</w:t>
      </w:r>
      <w:r>
        <w:rPr>
          <w:rFonts w:hint="eastAsia" w:eastAsia="方正仿宋_GBK" w:cs="Times New Roman"/>
          <w:sz w:val="32"/>
          <w:szCs w:val="32"/>
          <w:highlight w:val="none"/>
          <w:u w:val="none"/>
          <w:lang w:eastAsia="zh-CN"/>
        </w:rPr>
        <w:t>年</w:t>
      </w:r>
      <w:r>
        <w:rPr>
          <w:rFonts w:hint="eastAsia" w:eastAsia="方正仿宋_GBK" w:cs="Times New Roman"/>
          <w:sz w:val="32"/>
          <w:szCs w:val="32"/>
          <w:highlight w:val="none"/>
          <w:u w:val="none"/>
          <w:lang w:val="en-US" w:eastAsia="zh-CN"/>
        </w:rPr>
        <w:t>11</w:t>
      </w:r>
      <w:r>
        <w:rPr>
          <w:rFonts w:hint="eastAsia" w:eastAsia="方正仿宋_GBK" w:cs="Times New Roman"/>
          <w:sz w:val="32"/>
          <w:szCs w:val="32"/>
          <w:highlight w:val="none"/>
          <w:u w:val="none"/>
          <w:lang w:eastAsia="zh-CN"/>
        </w:rPr>
        <w:t>月</w:t>
      </w:r>
      <w:r>
        <w:rPr>
          <w:rFonts w:hint="eastAsia" w:eastAsia="方正仿宋_GBK" w:cs="Times New Roman"/>
          <w:sz w:val="32"/>
          <w:szCs w:val="32"/>
          <w:highlight w:val="none"/>
          <w:u w:val="none"/>
          <w:lang w:val="en-US" w:eastAsia="zh-CN"/>
        </w:rPr>
        <w:t>23</w:t>
      </w:r>
      <w:r>
        <w:rPr>
          <w:rFonts w:hint="eastAsia" w:eastAsia="方正仿宋_GBK" w:cs="Times New Roman"/>
          <w:sz w:val="32"/>
          <w:szCs w:val="32"/>
          <w:highlight w:val="none"/>
          <w:u w:val="none"/>
          <w:lang w:eastAsia="zh-CN"/>
        </w:rPr>
        <w:t>日</w:t>
      </w:r>
      <w:r>
        <w:rPr>
          <w:rFonts w:hint="eastAsia" w:eastAsia="方正仿宋_GBK" w:cs="Times New Roman"/>
          <w:sz w:val="32"/>
          <w:szCs w:val="32"/>
          <w:highlight w:val="none"/>
          <w:u w:val="none"/>
        </w:rPr>
        <w:t>至</w:t>
      </w:r>
      <w:r>
        <w:rPr>
          <w:rFonts w:hint="eastAsia" w:eastAsia="方正仿宋_GBK" w:cs="Times New Roman"/>
          <w:sz w:val="32"/>
          <w:szCs w:val="32"/>
          <w:highlight w:val="none"/>
          <w:u w:val="none"/>
          <w:lang w:val="en-US" w:eastAsia="zh-CN"/>
        </w:rPr>
        <w:t>2023</w:t>
      </w:r>
      <w:r>
        <w:rPr>
          <w:rFonts w:hint="eastAsia" w:eastAsia="方正仿宋_GBK" w:cs="Times New Roman"/>
          <w:sz w:val="32"/>
          <w:szCs w:val="32"/>
          <w:highlight w:val="none"/>
          <w:u w:val="none"/>
          <w:lang w:eastAsia="zh-CN"/>
        </w:rPr>
        <w:t>年</w:t>
      </w:r>
      <w:r>
        <w:rPr>
          <w:rFonts w:hint="eastAsia" w:eastAsia="方正仿宋_GBK" w:cs="Times New Roman"/>
          <w:sz w:val="32"/>
          <w:szCs w:val="32"/>
          <w:highlight w:val="none"/>
          <w:u w:val="none"/>
          <w:lang w:val="en-US" w:eastAsia="zh-CN"/>
        </w:rPr>
        <w:t>12</w:t>
      </w:r>
      <w:r>
        <w:rPr>
          <w:rFonts w:hint="eastAsia" w:eastAsia="方正仿宋_GBK" w:cs="Times New Roman"/>
          <w:sz w:val="32"/>
          <w:szCs w:val="32"/>
          <w:highlight w:val="none"/>
          <w:u w:val="none"/>
          <w:lang w:eastAsia="zh-CN"/>
        </w:rPr>
        <w:t>月</w:t>
      </w:r>
      <w:r>
        <w:rPr>
          <w:rFonts w:hint="eastAsia" w:eastAsia="方正仿宋_GBK" w:cs="Times New Roman"/>
          <w:sz w:val="32"/>
          <w:szCs w:val="32"/>
          <w:highlight w:val="none"/>
          <w:u w:val="none"/>
          <w:lang w:val="en-US" w:eastAsia="zh-CN"/>
        </w:rPr>
        <w:t>22</w:t>
      </w:r>
      <w:r>
        <w:rPr>
          <w:rFonts w:hint="eastAsia" w:eastAsia="方正仿宋_GBK" w:cs="Times New Roman"/>
          <w:sz w:val="32"/>
          <w:szCs w:val="32"/>
          <w:highlight w:val="none"/>
          <w:u w:val="none"/>
          <w:lang w:eastAsia="zh-CN"/>
        </w:rPr>
        <w:t>日</w:t>
      </w:r>
      <w:r>
        <w:rPr>
          <w:rFonts w:hint="eastAsia" w:eastAsia="方正仿宋_GBK" w:cs="Times New Roman"/>
          <w:sz w:val="32"/>
          <w:szCs w:val="32"/>
          <w:highlight w:val="none"/>
          <w:u w:val="none"/>
        </w:rPr>
        <w:t>，持不动产权属证明材料至江浦</w:t>
      </w:r>
      <w:r>
        <w:rPr>
          <w:rFonts w:hint="eastAsia" w:eastAsia="方正仿宋_GBK" w:cs="Times New Roman"/>
          <w:sz w:val="32"/>
          <w:szCs w:val="32"/>
          <w:highlight w:val="none"/>
          <w:u w:val="none"/>
          <w:lang w:val="en-US" w:eastAsia="zh-CN"/>
        </w:rPr>
        <w:t>街道办事处</w:t>
      </w:r>
      <w:r>
        <w:rPr>
          <w:rFonts w:hint="eastAsia" w:eastAsia="方正仿宋_GBK" w:cs="Times New Roman"/>
          <w:sz w:val="32"/>
          <w:szCs w:val="32"/>
          <w:highlight w:val="none"/>
          <w:u w:val="none"/>
        </w:rPr>
        <w:t>（联系人：戚瑶瑶；电话：15715193711）办理补偿安置登记，请相互转告。土地所有权人、使用权人如未按期办理补偿安置登记的，其补偿内容以土地现状调查结果为准。</w:t>
      </w:r>
    </w:p>
    <w:p w14:paraId="10A33589">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特此公告。</w:t>
      </w:r>
    </w:p>
    <w:p w14:paraId="5043DED2">
      <w:pPr>
        <w:adjustRightInd w:val="0"/>
        <w:snapToGrid w:val="0"/>
        <w:spacing w:line="300" w:lineRule="auto"/>
        <w:ind w:firstLine="640" w:firstLineChars="200"/>
        <w:rPr>
          <w:rFonts w:eastAsia="方正仿宋_GBK" w:cs="Times New Roman"/>
          <w:sz w:val="32"/>
          <w:szCs w:val="32"/>
          <w:highlight w:val="none"/>
          <w:u w:val="none"/>
        </w:rPr>
      </w:pPr>
    </w:p>
    <w:p w14:paraId="6ADBA8E0">
      <w:pPr>
        <w:adjustRightInd w:val="0"/>
        <w:snapToGrid w:val="0"/>
        <w:spacing w:line="300" w:lineRule="auto"/>
        <w:ind w:firstLine="640" w:firstLineChars="200"/>
        <w:rPr>
          <w:rFonts w:eastAsia="方正仿宋_GBK" w:cs="Times New Roman"/>
          <w:sz w:val="32"/>
          <w:szCs w:val="32"/>
          <w:highlight w:val="none"/>
          <w:u w:val="none"/>
        </w:rPr>
      </w:pPr>
      <w:r>
        <w:rPr>
          <w:rFonts w:hint="eastAsia" w:eastAsia="方正仿宋_GBK" w:cs="Times New Roman"/>
          <w:sz w:val="32"/>
          <w:szCs w:val="32"/>
          <w:highlight w:val="none"/>
          <w:u w:val="none"/>
        </w:rPr>
        <w:t>附件：拟征收土地位置示意图</w:t>
      </w:r>
    </w:p>
    <w:p w14:paraId="735DD44C">
      <w:pPr>
        <w:adjustRightInd w:val="0"/>
        <w:snapToGrid w:val="0"/>
        <w:spacing w:line="300" w:lineRule="auto"/>
        <w:jc w:val="left"/>
        <w:rPr>
          <w:rFonts w:eastAsia="方正仿宋_GBK" w:cs="Times New Roman"/>
          <w:sz w:val="32"/>
          <w:szCs w:val="32"/>
          <w:highlight w:val="none"/>
          <w:u w:val="none"/>
        </w:rPr>
      </w:pPr>
    </w:p>
    <w:p w14:paraId="5EF081D7">
      <w:pPr>
        <w:adjustRightInd w:val="0"/>
        <w:snapToGrid w:val="0"/>
        <w:spacing w:line="300" w:lineRule="auto"/>
        <w:jc w:val="left"/>
        <w:rPr>
          <w:rFonts w:eastAsia="方正仿宋_GBK" w:cs="Times New Roman"/>
          <w:sz w:val="32"/>
          <w:szCs w:val="32"/>
          <w:highlight w:val="none"/>
          <w:u w:val="none"/>
        </w:rPr>
      </w:pPr>
    </w:p>
    <w:p w14:paraId="1BF96F5B">
      <w:pPr>
        <w:adjustRightInd w:val="0"/>
        <w:snapToGrid w:val="0"/>
        <w:spacing w:line="300" w:lineRule="auto"/>
        <w:jc w:val="left"/>
        <w:rPr>
          <w:rFonts w:eastAsia="方正仿宋_GBK" w:cs="Times New Roman"/>
          <w:sz w:val="32"/>
          <w:szCs w:val="32"/>
          <w:highlight w:val="none"/>
          <w:u w:val="none"/>
        </w:rPr>
      </w:pPr>
    </w:p>
    <w:p w14:paraId="37EA564E">
      <w:pPr>
        <w:adjustRightInd w:val="0"/>
        <w:snapToGrid w:val="0"/>
        <w:spacing w:line="300" w:lineRule="auto"/>
        <w:jc w:val="right"/>
        <w:rPr>
          <w:rFonts w:eastAsia="方正仿宋_GBK" w:cs="Times New Roman"/>
          <w:sz w:val="32"/>
          <w:szCs w:val="32"/>
          <w:highlight w:val="none"/>
          <w:u w:val="none"/>
        </w:rPr>
      </w:pPr>
      <w:r>
        <w:rPr>
          <w:rFonts w:hint="eastAsia" w:eastAsia="方正仿宋_GBK" w:cs="Times New Roman"/>
          <w:sz w:val="32"/>
          <w:szCs w:val="32"/>
          <w:highlight w:val="none"/>
          <w:u w:val="none"/>
          <w:lang w:val="en-US" w:eastAsia="zh-CN"/>
        </w:rPr>
        <w:t>南京市浦口</w:t>
      </w:r>
      <w:r>
        <w:rPr>
          <w:rFonts w:hint="eastAsia" w:eastAsia="方正仿宋_GBK" w:cs="Times New Roman"/>
          <w:sz w:val="32"/>
          <w:szCs w:val="32"/>
          <w:highlight w:val="none"/>
          <w:u w:val="none"/>
        </w:rPr>
        <w:t>区人民政府</w:t>
      </w:r>
    </w:p>
    <w:p w14:paraId="4F367B6A">
      <w:pPr>
        <w:adjustRightInd w:val="0"/>
        <w:snapToGrid w:val="0"/>
        <w:spacing w:line="300" w:lineRule="auto"/>
        <w:jc w:val="right"/>
        <w:rPr>
          <w:rFonts w:eastAsia="方正仿宋_GBK" w:cs="Times New Roman"/>
          <w:sz w:val="32"/>
          <w:szCs w:val="32"/>
          <w:highlight w:val="none"/>
          <w:u w:val="none"/>
        </w:rPr>
      </w:pPr>
      <w:r>
        <w:rPr>
          <w:rFonts w:hint="eastAsia" w:eastAsia="方正仿宋_GBK" w:cs="Times New Roman"/>
          <w:sz w:val="32"/>
          <w:szCs w:val="32"/>
          <w:highlight w:val="none"/>
          <w:u w:val="none"/>
          <w:lang w:val="en-US" w:eastAsia="zh-CN"/>
        </w:rPr>
        <w:t>2023年11月23日</w:t>
      </w:r>
    </w:p>
    <w:p w14:paraId="2DD53B04">
      <w:pPr>
        <w:rPr>
          <w:highlight w:val="none"/>
          <w:u w:val="none"/>
        </w:rPr>
        <w:sectPr>
          <w:footerReference r:id="rId3" w:type="default"/>
          <w:pgSz w:w="11906" w:h="16838"/>
          <w:pgMar w:top="1440" w:right="1800" w:bottom="1440" w:left="1800" w:header="851" w:footer="992" w:gutter="0"/>
          <w:pgNumType w:fmt="numberInDash"/>
          <w:cols w:space="425" w:num="1"/>
          <w:docGrid w:type="lines" w:linePitch="312" w:charSpace="0"/>
        </w:sectPr>
      </w:pPr>
    </w:p>
    <w:p w14:paraId="38073E83">
      <w:pPr>
        <w:rPr>
          <w:highlight w:val="none"/>
          <w:u w:val="none"/>
        </w:rPr>
      </w:pPr>
    </w:p>
    <w:sectPr>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3F97547-2D42-4A64-85E3-D2203D52BD2D}"/>
  </w:font>
  <w:font w:name="方正小标宋_GBK">
    <w:panose1 w:val="03000509000000000000"/>
    <w:charset w:val="86"/>
    <w:family w:val="script"/>
    <w:pitch w:val="default"/>
    <w:sig w:usb0="00000001" w:usb1="080E0000" w:usb2="00000000" w:usb3="00000000" w:csb0="00040000" w:csb1="00000000"/>
    <w:embedRegular r:id="rId2" w:fontKey="{EC7CF3B0-F9B8-486A-957B-DF654508201A}"/>
  </w:font>
  <w:font w:name="方正仿宋_GBK">
    <w:panose1 w:val="03000509000000000000"/>
    <w:charset w:val="86"/>
    <w:family w:val="script"/>
    <w:pitch w:val="default"/>
    <w:sig w:usb0="00000001" w:usb1="080E0000" w:usb2="00000000" w:usb3="00000000" w:csb0="00040000" w:csb1="00000000"/>
    <w:embedRegular r:id="rId3" w:fontKey="{19499A03-A1AD-4B86-B322-318214341231}"/>
  </w:font>
  <w:font w:name="方正黑体_GBK">
    <w:panose1 w:val="03000509000000000000"/>
    <w:charset w:val="86"/>
    <w:family w:val="script"/>
    <w:pitch w:val="default"/>
    <w:sig w:usb0="00000001" w:usb1="080E0000" w:usb2="00000000" w:usb3="00000000" w:csb0="00040000" w:csb1="00000000"/>
    <w:embedRegular r:id="rId4" w:fontKey="{02B543EB-4583-462B-94FF-1B12086562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C33B">
    <w:pPr>
      <w:pStyle w:val="3"/>
      <w:ind w:right="2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E958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7E958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Y2RhYWU5NjJhZTIxMThmMDViYzViMmIyM2ZkOTIifQ=="/>
  </w:docVars>
  <w:rsids>
    <w:rsidRoot w:val="2B824BCA"/>
    <w:rsid w:val="00C4049B"/>
    <w:rsid w:val="05AA5F48"/>
    <w:rsid w:val="0F7E5F8C"/>
    <w:rsid w:val="11FF7544"/>
    <w:rsid w:val="127952CC"/>
    <w:rsid w:val="143D5D1B"/>
    <w:rsid w:val="16D927DD"/>
    <w:rsid w:val="18F93A94"/>
    <w:rsid w:val="1AF23C6B"/>
    <w:rsid w:val="1D4D5CD3"/>
    <w:rsid w:val="1EAE09F3"/>
    <w:rsid w:val="1F6A2B6C"/>
    <w:rsid w:val="288705A8"/>
    <w:rsid w:val="2B824BCA"/>
    <w:rsid w:val="2D0068BE"/>
    <w:rsid w:val="2D8A0FE5"/>
    <w:rsid w:val="2F685573"/>
    <w:rsid w:val="38B7797A"/>
    <w:rsid w:val="3F485406"/>
    <w:rsid w:val="430018D6"/>
    <w:rsid w:val="48C1518A"/>
    <w:rsid w:val="4BFA2D30"/>
    <w:rsid w:val="4D241CFD"/>
    <w:rsid w:val="545362F4"/>
    <w:rsid w:val="58A82FB6"/>
    <w:rsid w:val="5C2E38DA"/>
    <w:rsid w:val="5DA36C6E"/>
    <w:rsid w:val="5EC345D2"/>
    <w:rsid w:val="5FAB727B"/>
    <w:rsid w:val="5FC5111D"/>
    <w:rsid w:val="60294D19"/>
    <w:rsid w:val="61FF4150"/>
    <w:rsid w:val="62356586"/>
    <w:rsid w:val="663F24F8"/>
    <w:rsid w:val="681268E4"/>
    <w:rsid w:val="6A592D5C"/>
    <w:rsid w:val="6CA95923"/>
    <w:rsid w:val="6D9C4E86"/>
    <w:rsid w:val="6E345940"/>
    <w:rsid w:val="709D4EDC"/>
    <w:rsid w:val="7630269F"/>
    <w:rsid w:val="7A401A5C"/>
    <w:rsid w:val="7AEA365C"/>
    <w:rsid w:val="7B08370A"/>
    <w:rsid w:val="7C9219F0"/>
    <w:rsid w:val="7EB20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val="0"/>
      <w:autoSpaceDE w:val="0"/>
      <w:autoSpaceDN w:val="0"/>
      <w:jc w:val="left"/>
    </w:pPr>
    <w:rPr>
      <w:rFonts w:ascii="宋体" w:hAnsi="宋体" w:eastAsia="宋体" w:cs="宋体"/>
      <w:kern w:val="0"/>
      <w:sz w:val="32"/>
      <w:szCs w:val="32"/>
      <w:lang w:val="zh-CN" w:eastAsia="zh-CN" w:bidi="zh-CN"/>
    </w:rPr>
  </w:style>
  <w:style w:type="paragraph" w:styleId="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1646</Words>
  <Characters>1911</Characters>
  <Lines>0</Lines>
  <Paragraphs>0</Paragraphs>
  <TotalTime>11</TotalTime>
  <ScaleCrop>false</ScaleCrop>
  <LinksUpToDate>false</LinksUpToDate>
  <CharactersWithSpaces>1911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2023-10-24T06:29:00Z</dcterms:created>
  <dc:creator>问水</dc:creator>
  <cp:lastModifiedBy>小仙女爱丽</cp:lastModifiedBy>
  <dcterms:modified xsi:type="dcterms:W3CDTF">2025-02-21T07:33:07Z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14EE79ED322748EEBCA6D39D67D087BC_11</vt:lpwstr>
  </property>
  <property fmtid="{D5CDD505-2E9C-101B-9397-08002B2CF9AE}" pid="4" name="KSOTemplateDocerSaveRecord">
    <vt:lpwstr>eyJoZGlkIjoiNTc0YjA5Yjk0N2MwY2U0NDlhNTZlYjFlODZhOTI5ZDgiLCJ1c2VySWQiOiI2Mjg0Njg0NTIifQ==</vt:lpwstr>
  </property>
</Properties>
</file>