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847" w:type="dxa"/>
        <w:tblInd w:w="28" w:type="dxa"/>
        <w:tblLayout w:type="fixed"/>
        <w:tblCellMar>
          <w:top w:w="0" w:type="dxa"/>
          <w:left w:w="28" w:type="dxa"/>
          <w:bottom w:w="0" w:type="dxa"/>
          <w:right w:w="28" w:type="dxa"/>
        </w:tblCellMar>
      </w:tblPr>
      <w:tblGrid>
        <w:gridCol w:w="8847"/>
      </w:tblGrid>
      <w:tr w14:paraId="07916A5A">
        <w:tblPrEx>
          <w:tblCellMar>
            <w:top w:w="0" w:type="dxa"/>
            <w:left w:w="28" w:type="dxa"/>
            <w:bottom w:w="0" w:type="dxa"/>
            <w:right w:w="28" w:type="dxa"/>
          </w:tblCellMar>
        </w:tblPrEx>
        <w:trPr>
          <w:cantSplit/>
          <w:trHeight w:val="1178" w:hRule="exact"/>
        </w:trPr>
        <w:tc>
          <w:tcPr>
            <w:tcW w:w="8847" w:type="dxa"/>
          </w:tcPr>
          <w:p w14:paraId="0247A55A">
            <w:pPr>
              <w:pStyle w:val="11"/>
              <w:overflowPunct w:val="0"/>
              <w:topLinePunct/>
              <w:spacing w:line="560" w:lineRule="exact"/>
              <w:jc w:val="both"/>
              <w:rPr>
                <w:rFonts w:ascii="Times New Roman"/>
              </w:rPr>
            </w:pPr>
          </w:p>
        </w:tc>
      </w:tr>
      <w:tr w14:paraId="7FEB84BA">
        <w:tblPrEx>
          <w:tblCellMar>
            <w:top w:w="0" w:type="dxa"/>
            <w:left w:w="28" w:type="dxa"/>
            <w:bottom w:w="0" w:type="dxa"/>
            <w:right w:w="28" w:type="dxa"/>
          </w:tblCellMar>
        </w:tblPrEx>
        <w:trPr>
          <w:cantSplit/>
          <w:trHeight w:val="1315" w:hRule="exact"/>
        </w:trPr>
        <w:tc>
          <w:tcPr>
            <w:tcW w:w="8847" w:type="dxa"/>
          </w:tcPr>
          <w:p w14:paraId="5A74E653">
            <w:pPr>
              <w:pStyle w:val="12"/>
              <w:overflowPunct w:val="0"/>
              <w:topLinePunct/>
              <w:jc w:val="center"/>
              <w:rPr>
                <w:rFonts w:ascii="Times New Roman" w:eastAsia="方正小标宋_GBK"/>
                <w:sz w:val="90"/>
                <w:szCs w:val="90"/>
              </w:rPr>
            </w:pPr>
            <w:r>
              <w:rPr>
                <w:rFonts w:ascii="Times New Roman" w:eastAsia="方正小标宋_GBK"/>
                <w:spacing w:val="1"/>
                <w:w w:val="55"/>
                <w:kern w:val="0"/>
                <w:sz w:val="110"/>
                <w:szCs w:val="90"/>
                <w:fitText w:val="8519" w:id="-777754112"/>
              </w:rPr>
              <w:t>中国共产党南京市浦口区委员</w:t>
            </w:r>
            <w:r>
              <w:rPr>
                <w:rFonts w:ascii="Times New Roman" w:eastAsia="方正小标宋_GBK"/>
                <w:spacing w:val="13"/>
                <w:w w:val="55"/>
                <w:kern w:val="0"/>
                <w:sz w:val="110"/>
                <w:szCs w:val="90"/>
                <w:fitText w:val="8519" w:id="-777754112"/>
              </w:rPr>
              <w:t>会</w:t>
            </w:r>
          </w:p>
        </w:tc>
      </w:tr>
    </w:tbl>
    <w:p w14:paraId="04E2F3DB">
      <w:pPr>
        <w:overflowPunct w:val="0"/>
        <w:topLinePunct/>
      </w:pPr>
    </w:p>
    <w:p w14:paraId="47B7BD45">
      <w:pPr>
        <w:pStyle w:val="13"/>
        <w:overflowPunct w:val="0"/>
        <w:topLinePunct/>
        <w:ind w:firstLine="220" w:firstLineChars="50"/>
        <w:jc w:val="both"/>
        <w:rPr>
          <w:rFonts w:eastAsia="方正楷体_GBK"/>
        </w:rPr>
      </w:pPr>
      <w:bookmarkStart w:id="0" w:name="发文字号"/>
      <w:r>
        <w:rPr>
          <w:rFonts w:eastAsia="方正小标宋_GBK"/>
          <w:sz w:val="44"/>
          <w:szCs w:val="44"/>
        </w:rPr>
        <w:pict>
          <v:rect id="_x0000_s1026" o:spid="_x0000_s1026" o:spt="1" style="position:absolute;left:0pt;margin-left:3.75pt;margin-top:30.45pt;height:0.55pt;width:442.2pt;z-index:251659264;mso-width-relative:page;mso-height-relative:page;" fillcolor="#FF0000"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">
            <v:path/>
            <v:fill on="t" focussize="0,0"/>
            <v:stroke color="#FF0000"/>
            <v:imagedata o:title=""/>
            <o:lock v:ext="edit"/>
            <v:textbox>
              <w:txbxContent>
                <w:p w14:paraId="1DAF0A87"/>
              </w:txbxContent>
            </v:textbox>
          </v:rect>
        </w:pict>
      </w:r>
      <w:r>
        <w:rPr>
          <w:rFonts w:eastAsia="方正楷体_GBK"/>
        </w:rPr>
        <w:t>浦委﹝2025﹞6号</w:t>
      </w:r>
      <w:r>
        <w:rPr>
          <w:rFonts w:hint="eastAsia" w:eastAsia="方正楷体_GBK"/>
        </w:rPr>
        <w:t xml:space="preserve">                      </w:t>
      </w:r>
      <w:r>
        <w:rPr>
          <w:rFonts w:eastAsia="方正楷体_GBK"/>
        </w:rPr>
        <w:t>签发人：</w:t>
      </w:r>
      <w:r>
        <w:rPr>
          <w:rFonts w:hint="eastAsia" w:eastAsia="方正楷体_GBK"/>
        </w:rPr>
        <w:t>吴勇强</w:t>
      </w:r>
    </w:p>
    <w:bookmarkEnd w:id="0"/>
    <w:p w14:paraId="38C7BFC2">
      <w:pPr>
        <w:overflowPunct w:val="0"/>
        <w:topLinePunct/>
        <w:snapToGrid w:val="0"/>
        <w:spacing w:line="560" w:lineRule="exact"/>
        <w:jc w:val="center"/>
        <w:rPr>
          <w:rFonts w:eastAsia="方正小标宋_GBK"/>
          <w:sz w:val="44"/>
          <w:szCs w:val="44"/>
        </w:rPr>
      </w:pPr>
    </w:p>
    <w:p w14:paraId="3E4BF7E9">
      <w:pPr>
        <w:snapToGrid w:val="0"/>
        <w:spacing w:line="660" w:lineRule="exact"/>
        <w:jc w:val="center"/>
        <w:rPr>
          <w:rFonts w:eastAsia="方正小标宋_GBK"/>
          <w:sz w:val="44"/>
          <w:szCs w:val="44"/>
        </w:rPr>
      </w:pPr>
      <w:r>
        <w:rPr>
          <w:rFonts w:hint="eastAsia" w:eastAsia="方正小标宋_GBK"/>
          <w:sz w:val="44"/>
          <w:szCs w:val="44"/>
          <w:lang w:val="en-US" w:eastAsia="zh-CN"/>
        </w:rPr>
        <w:t>南京市</w:t>
      </w:r>
      <w:bookmarkStart w:id="3" w:name="_GoBack"/>
      <w:bookmarkEnd w:id="3"/>
      <w:r>
        <w:rPr>
          <w:rFonts w:eastAsia="方正小标宋_GBK"/>
          <w:sz w:val="44"/>
          <w:szCs w:val="44"/>
        </w:rPr>
        <w:t>浦口区202</w:t>
      </w:r>
      <w:r>
        <w:rPr>
          <w:rFonts w:hint="eastAsia" w:eastAsia="方正小标宋_GBK"/>
          <w:sz w:val="44"/>
          <w:szCs w:val="44"/>
        </w:rPr>
        <w:t>4</w:t>
      </w:r>
      <w:r>
        <w:rPr>
          <w:rFonts w:eastAsia="方正小标宋_GBK"/>
          <w:sz w:val="44"/>
          <w:szCs w:val="44"/>
        </w:rPr>
        <w:t>年度法治政府建设情况报告</w:t>
      </w:r>
    </w:p>
    <w:p w14:paraId="2B061C82">
      <w:pPr>
        <w:overflowPunct w:val="0"/>
        <w:snapToGrid w:val="0"/>
        <w:spacing w:line="550" w:lineRule="exact"/>
        <w:ind w:firstLine="420" w:firstLineChars="200"/>
        <w:jc w:val="center"/>
        <w:rPr>
          <w:rFonts w:eastAsia="方正小标宋_GBK"/>
          <w:szCs w:val="21"/>
        </w:rPr>
      </w:pPr>
    </w:p>
    <w:p w14:paraId="1067F972">
      <w:pPr>
        <w:overflowPunct w:val="0"/>
        <w:snapToGrid w:val="0"/>
        <w:spacing w:line="550" w:lineRule="exact"/>
        <w:rPr>
          <w:rFonts w:eastAsia="方正仿宋_GBK"/>
          <w:sz w:val="32"/>
          <w:szCs w:val="32"/>
        </w:rPr>
      </w:pPr>
      <w:r>
        <w:rPr>
          <w:rFonts w:hint="eastAsia" w:eastAsia="方正仿宋_GBK"/>
          <w:sz w:val="32"/>
          <w:szCs w:val="32"/>
        </w:rPr>
        <w:t>市委、</w:t>
      </w:r>
      <w:r>
        <w:rPr>
          <w:rFonts w:eastAsia="方正仿宋_GBK"/>
          <w:sz w:val="32"/>
          <w:szCs w:val="32"/>
        </w:rPr>
        <w:t>市政府：</w:t>
      </w:r>
    </w:p>
    <w:p w14:paraId="0DD79C10">
      <w:pPr>
        <w:overflowPunct w:val="0"/>
        <w:snapToGrid w:val="0"/>
        <w:spacing w:line="550" w:lineRule="exact"/>
        <w:ind w:firstLine="640" w:firstLineChars="200"/>
        <w:rPr>
          <w:rFonts w:eastAsia="方正仿宋_GBK"/>
          <w:sz w:val="32"/>
          <w:szCs w:val="32"/>
        </w:rPr>
      </w:pPr>
      <w:r>
        <w:rPr>
          <w:rFonts w:eastAsia="方正仿宋_GBK"/>
          <w:sz w:val="32"/>
          <w:szCs w:val="32"/>
        </w:rPr>
        <w:t>202</w:t>
      </w:r>
      <w:r>
        <w:rPr>
          <w:rFonts w:hint="eastAsia" w:eastAsia="方正仿宋_GBK"/>
          <w:sz w:val="32"/>
          <w:szCs w:val="32"/>
        </w:rPr>
        <w:t>4</w:t>
      </w:r>
      <w:r>
        <w:rPr>
          <w:rFonts w:eastAsia="方正仿宋_GBK"/>
          <w:sz w:val="32"/>
          <w:szCs w:val="32"/>
        </w:rPr>
        <w:t>年</w:t>
      </w:r>
      <w:r>
        <w:rPr>
          <w:rFonts w:hint="eastAsia" w:eastAsia="方正仿宋_GBK"/>
          <w:sz w:val="32"/>
          <w:szCs w:val="32"/>
        </w:rPr>
        <w:t>，</w:t>
      </w:r>
      <w:r>
        <w:rPr>
          <w:rFonts w:eastAsia="方正仿宋_GBK"/>
          <w:sz w:val="32"/>
          <w:szCs w:val="32"/>
        </w:rPr>
        <w:t>浦口区坚持以习近平新时代中国特色社会主义思想为指导，全面贯彻落实党的二十大</w:t>
      </w:r>
      <w:r>
        <w:rPr>
          <w:rFonts w:hint="eastAsia" w:eastAsia="方正仿宋_GBK"/>
          <w:sz w:val="32"/>
          <w:szCs w:val="32"/>
        </w:rPr>
        <w:t>和</w:t>
      </w:r>
      <w:r>
        <w:rPr>
          <w:rFonts w:eastAsia="方正仿宋_GBK"/>
          <w:sz w:val="32"/>
          <w:szCs w:val="32"/>
        </w:rPr>
        <w:t>二十届二中</w:t>
      </w:r>
      <w:r>
        <w:rPr>
          <w:rFonts w:hint="eastAsia" w:eastAsia="方正仿宋_GBK"/>
          <w:sz w:val="32"/>
          <w:szCs w:val="32"/>
        </w:rPr>
        <w:t>、三中</w:t>
      </w:r>
      <w:r>
        <w:rPr>
          <w:rFonts w:eastAsia="方正仿宋_GBK"/>
          <w:sz w:val="32"/>
          <w:szCs w:val="32"/>
        </w:rPr>
        <w:t>全会精神，深入践行习近平法治思想，扎实推进依法行政，法治政府建设各项工作取得新进步，为</w:t>
      </w:r>
      <w:r>
        <w:rPr>
          <w:rFonts w:hint="eastAsia" w:eastAsia="方正仿宋_GBK"/>
          <w:sz w:val="32"/>
          <w:szCs w:val="32"/>
        </w:rPr>
        <w:t>谱写</w:t>
      </w:r>
      <w:r>
        <w:rPr>
          <w:rFonts w:eastAsia="方正仿宋_GBK"/>
          <w:sz w:val="32"/>
          <w:szCs w:val="32"/>
        </w:rPr>
        <w:t>中国式现代化浦口新篇章提供了有力的法治保障。</w:t>
      </w:r>
    </w:p>
    <w:p w14:paraId="23EAD4CC">
      <w:pPr>
        <w:overflowPunct w:val="0"/>
        <w:snapToGrid w:val="0"/>
        <w:spacing w:line="550" w:lineRule="exact"/>
        <w:ind w:firstLine="640" w:firstLineChars="200"/>
        <w:rPr>
          <w:rFonts w:eastAsia="方正黑体_GBK"/>
          <w:sz w:val="32"/>
          <w:szCs w:val="32"/>
        </w:rPr>
      </w:pPr>
      <w:r>
        <w:rPr>
          <w:rFonts w:hint="eastAsia" w:eastAsia="方正黑体_GBK"/>
          <w:sz w:val="32"/>
          <w:szCs w:val="32"/>
        </w:rPr>
        <w:t>一</w:t>
      </w:r>
      <w:r>
        <w:rPr>
          <w:rFonts w:hint="eastAsia" w:eastAsia="方正仿宋_GBK"/>
          <w:sz w:val="32"/>
          <w:szCs w:val="32"/>
        </w:rPr>
        <w:t>、</w:t>
      </w:r>
      <w:r>
        <w:rPr>
          <w:rFonts w:hint="eastAsia" w:eastAsia="方正黑体_GBK"/>
          <w:sz w:val="32"/>
          <w:szCs w:val="32"/>
        </w:rPr>
        <w:t>党政主要负责人认真履职</w:t>
      </w:r>
      <w:r>
        <w:rPr>
          <w:rFonts w:eastAsia="方正仿宋_GBK"/>
          <w:sz w:val="32"/>
          <w:szCs w:val="32"/>
        </w:rPr>
        <w:t>，</w:t>
      </w:r>
      <w:r>
        <w:rPr>
          <w:rFonts w:hint="eastAsia" w:eastAsia="方正黑体_GBK"/>
          <w:sz w:val="32"/>
          <w:szCs w:val="32"/>
        </w:rPr>
        <w:t>统筹推进法治政府建设</w:t>
      </w:r>
    </w:p>
    <w:p w14:paraId="1AF5EFE0">
      <w:pPr>
        <w:overflowPunct w:val="0"/>
        <w:snapToGrid w:val="0"/>
        <w:spacing w:line="550" w:lineRule="exact"/>
        <w:ind w:firstLine="640" w:firstLineChars="200"/>
        <w:rPr>
          <w:rFonts w:eastAsia="方正仿宋_GBK"/>
          <w:sz w:val="32"/>
          <w:szCs w:val="32"/>
        </w:rPr>
      </w:pPr>
      <w:r>
        <w:rPr>
          <w:rFonts w:hint="eastAsia" w:eastAsia="方正楷体_GBK"/>
          <w:sz w:val="32"/>
          <w:szCs w:val="32"/>
        </w:rPr>
        <w:t>（一）深入践行习近平法治思想。</w:t>
      </w:r>
      <w:r>
        <w:rPr>
          <w:rFonts w:eastAsia="方正仿宋_GBK"/>
          <w:sz w:val="32"/>
          <w:szCs w:val="32"/>
        </w:rPr>
        <w:t>坚持把习近平法治思想作为各级党委（党组）理论学习中心组、领导班子读书班、领导干部培训的重要内容，作为党员、干部教育培训的重要必修课程。将习近平法治思想纳入年度区委理论学习中心组学习计划，不断提升领导干部运用法治思想指导工作实践的能力水平。</w:t>
      </w:r>
      <w:r>
        <w:rPr>
          <w:rFonts w:hint="eastAsia" w:eastAsia="方正仿宋_GBK"/>
          <w:sz w:val="32"/>
          <w:szCs w:val="32"/>
        </w:rPr>
        <w:t>2024年</w:t>
      </w:r>
      <w:r>
        <w:rPr>
          <w:rFonts w:eastAsia="方正仿宋_GBK"/>
          <w:sz w:val="32"/>
          <w:szCs w:val="32"/>
        </w:rPr>
        <w:t>3月，邀请东南大学法学院教授熊樟林在区委理论学习中心组学习会上专题授课。</w:t>
      </w:r>
    </w:p>
    <w:p w14:paraId="66D14038">
      <w:pPr>
        <w:overflowPunct w:val="0"/>
        <w:snapToGrid w:val="0"/>
        <w:spacing w:line="550" w:lineRule="exact"/>
        <w:ind w:firstLine="640" w:firstLineChars="200"/>
        <w:rPr>
          <w:rFonts w:eastAsia="方正仿宋_GBK"/>
          <w:sz w:val="32"/>
          <w:szCs w:val="32"/>
        </w:rPr>
      </w:pPr>
      <w:r>
        <w:rPr>
          <w:rFonts w:hint="eastAsia" w:eastAsia="方正楷体_GBK"/>
          <w:sz w:val="32"/>
          <w:szCs w:val="32"/>
        </w:rPr>
        <w:t>（二）严格履行第一责任人职责。</w:t>
      </w:r>
      <w:r>
        <w:rPr>
          <w:rFonts w:hint="eastAsia" w:eastAsia="方正仿宋_GBK"/>
          <w:sz w:val="32"/>
          <w:szCs w:val="32"/>
        </w:rPr>
        <w:t>严格落实《党政主要负责人履行推进法治建设第一责任人职责规定》，强调领导干部“关键少数”的导向作用。把落实党政主要负责人履行推进法治建设第一责任人职责情况及述法工作纳入法治建设考核内容，实现全区党政主要负责人书面述法全覆盖。2024年</w:t>
      </w:r>
      <w:r>
        <w:rPr>
          <w:rFonts w:eastAsia="方正仿宋_GBK"/>
          <w:sz w:val="32"/>
          <w:szCs w:val="32"/>
        </w:rPr>
        <w:t>3月</w:t>
      </w:r>
      <w:r>
        <w:rPr>
          <w:rFonts w:hint="eastAsia" w:eastAsia="方正仿宋_GBK"/>
          <w:sz w:val="32"/>
          <w:szCs w:val="32"/>
        </w:rPr>
        <w:t>，</w:t>
      </w:r>
      <w:r>
        <w:rPr>
          <w:rFonts w:eastAsia="方正仿宋_GBK"/>
          <w:sz w:val="32"/>
          <w:szCs w:val="32"/>
        </w:rPr>
        <w:t>召开区委全面依法治区委员会第七次会议，优选5个部门</w:t>
      </w:r>
      <w:r>
        <w:rPr>
          <w:rFonts w:hint="eastAsia" w:eastAsia="方正仿宋_GBK"/>
          <w:sz w:val="32"/>
          <w:szCs w:val="32"/>
        </w:rPr>
        <w:t>和</w:t>
      </w:r>
      <w:r>
        <w:rPr>
          <w:rFonts w:eastAsia="方正仿宋_GBK"/>
          <w:sz w:val="32"/>
          <w:szCs w:val="32"/>
        </w:rPr>
        <w:t>5个街道党政主要负责人开展现场专题述法，不断提升述法工作针对性，全面</w:t>
      </w:r>
      <w:r>
        <w:rPr>
          <w:rFonts w:hint="eastAsia" w:eastAsia="方正仿宋_GBK"/>
          <w:sz w:val="32"/>
          <w:szCs w:val="32"/>
        </w:rPr>
        <w:t>提升</w:t>
      </w:r>
      <w:r>
        <w:rPr>
          <w:rFonts w:eastAsia="方正仿宋_GBK"/>
          <w:sz w:val="32"/>
          <w:szCs w:val="32"/>
        </w:rPr>
        <w:t>法治建设</w:t>
      </w:r>
      <w:r>
        <w:rPr>
          <w:rFonts w:hint="eastAsia" w:eastAsia="方正仿宋_GBK"/>
          <w:sz w:val="32"/>
          <w:szCs w:val="32"/>
        </w:rPr>
        <w:t>水平</w:t>
      </w:r>
      <w:r>
        <w:rPr>
          <w:rFonts w:eastAsia="方正仿宋_GBK"/>
          <w:sz w:val="32"/>
          <w:szCs w:val="32"/>
        </w:rPr>
        <w:t>。</w:t>
      </w:r>
    </w:p>
    <w:p w14:paraId="357F1989">
      <w:pPr>
        <w:widowControl/>
        <w:overflowPunct w:val="0"/>
        <w:snapToGrid w:val="0"/>
        <w:spacing w:line="550" w:lineRule="exact"/>
        <w:ind w:firstLine="640" w:firstLineChars="200"/>
        <w:rPr>
          <w:rFonts w:eastAsia="方正仿宋_GBK"/>
          <w:sz w:val="32"/>
          <w:szCs w:val="32"/>
        </w:rPr>
      </w:pPr>
      <w:r>
        <w:rPr>
          <w:rFonts w:hint="eastAsia" w:eastAsia="方正楷体_GBK"/>
          <w:sz w:val="32"/>
          <w:szCs w:val="32"/>
        </w:rPr>
        <w:t>（</w:t>
      </w:r>
      <w:r>
        <w:rPr>
          <w:rFonts w:eastAsia="方正楷体_GBK"/>
          <w:sz w:val="32"/>
          <w:szCs w:val="32"/>
        </w:rPr>
        <w:t>三</w:t>
      </w:r>
      <w:r>
        <w:rPr>
          <w:rFonts w:hint="eastAsia" w:eastAsia="方正楷体_GBK"/>
          <w:sz w:val="32"/>
          <w:szCs w:val="32"/>
        </w:rPr>
        <w:t>）深化数字法治政府建设</w:t>
      </w:r>
      <w:r>
        <w:rPr>
          <w:rFonts w:eastAsia="方正楷体_GBK"/>
          <w:kern w:val="0"/>
          <w:sz w:val="32"/>
          <w:szCs w:val="32"/>
        </w:rPr>
        <w:t>。</w:t>
      </w:r>
      <w:r>
        <w:rPr>
          <w:rFonts w:hint="eastAsia" w:eastAsia="方正仿宋_GBK"/>
          <w:sz w:val="32"/>
          <w:szCs w:val="32"/>
        </w:rPr>
        <w:t>按照“城市可感知、问题可获取、管理可闭环、系统可学习”的总体要求，运用区城市运行“一网统管”平台，推动政府治理数据化和法治化更深融合。通过接口对接、数据导入、人工上报等多种接入方式实时归集城市运行数据，累计归集52个部门、57个应用系统、1142项数据资源、7.4亿余条政务数据和</w:t>
      </w:r>
      <w:r>
        <w:rPr>
          <w:rFonts w:eastAsia="方正仿宋_GBK"/>
          <w:sz w:val="32"/>
          <w:szCs w:val="32"/>
        </w:rPr>
        <w:t>16755</w:t>
      </w:r>
      <w:r>
        <w:rPr>
          <w:rFonts w:hint="eastAsia" w:eastAsia="方正仿宋_GBK"/>
          <w:sz w:val="32"/>
          <w:szCs w:val="32"/>
        </w:rPr>
        <w:t>路视频监控资源。对浦口区智慧执法系统进行功能升级、应用优化，实现线上指挥调度、线上办案、线上移送、线上监督的全流程线上工作模式。</w:t>
      </w:r>
    </w:p>
    <w:p w14:paraId="59C598BE">
      <w:pPr>
        <w:overflowPunct w:val="0"/>
        <w:snapToGrid w:val="0"/>
        <w:spacing w:line="550" w:lineRule="exact"/>
        <w:ind w:firstLine="640" w:firstLineChars="200"/>
        <w:rPr>
          <w:rFonts w:eastAsia="方正黑体_GBK"/>
          <w:sz w:val="32"/>
          <w:szCs w:val="32"/>
        </w:rPr>
      </w:pPr>
      <w:r>
        <w:rPr>
          <w:rFonts w:hint="eastAsia" w:eastAsia="方正黑体_GBK"/>
          <w:sz w:val="32"/>
          <w:szCs w:val="32"/>
        </w:rPr>
        <w:t>二</w:t>
      </w:r>
      <w:r>
        <w:rPr>
          <w:rFonts w:eastAsia="方正仿宋_GBK"/>
          <w:sz w:val="32"/>
          <w:szCs w:val="32"/>
        </w:rPr>
        <w:t>、</w:t>
      </w:r>
      <w:r>
        <w:rPr>
          <w:rFonts w:hint="eastAsia" w:eastAsia="方正黑体_GBK"/>
          <w:sz w:val="32"/>
          <w:szCs w:val="32"/>
        </w:rPr>
        <w:t>依法全面履行政府职能</w:t>
      </w:r>
      <w:r>
        <w:rPr>
          <w:rFonts w:eastAsia="方正仿宋_GBK"/>
          <w:sz w:val="32"/>
          <w:szCs w:val="32"/>
        </w:rPr>
        <w:t>，</w:t>
      </w:r>
      <w:r>
        <w:rPr>
          <w:rFonts w:hint="eastAsia" w:eastAsia="方正黑体_GBK"/>
          <w:sz w:val="32"/>
          <w:szCs w:val="32"/>
        </w:rPr>
        <w:t>服务经济社会高质量发展</w:t>
      </w:r>
    </w:p>
    <w:p w14:paraId="37FF1055">
      <w:pPr>
        <w:widowControl/>
        <w:overflowPunct w:val="0"/>
        <w:snapToGrid w:val="0"/>
        <w:spacing w:line="550" w:lineRule="exact"/>
        <w:ind w:firstLine="640" w:firstLineChars="200"/>
        <w:rPr>
          <w:rFonts w:eastAsia="方正楷体_GBK"/>
          <w:kern w:val="0"/>
          <w:sz w:val="32"/>
          <w:szCs w:val="32"/>
        </w:rPr>
      </w:pPr>
      <w:r>
        <w:rPr>
          <w:rFonts w:hint="eastAsia" w:eastAsia="方正楷体_GBK"/>
          <w:sz w:val="32"/>
          <w:szCs w:val="32"/>
        </w:rPr>
        <w:t>（一）</w:t>
      </w:r>
      <w:r>
        <w:rPr>
          <w:rFonts w:eastAsia="方正楷体_GBK"/>
          <w:kern w:val="0"/>
          <w:sz w:val="32"/>
          <w:szCs w:val="32"/>
        </w:rPr>
        <w:t>优化营商环境法治保障</w:t>
      </w:r>
      <w:r>
        <w:rPr>
          <w:rFonts w:hint="eastAsia" w:eastAsia="方正楷体_GBK"/>
          <w:sz w:val="32"/>
          <w:szCs w:val="32"/>
        </w:rPr>
        <w:t>。</w:t>
      </w:r>
      <w:r>
        <w:rPr>
          <w:rFonts w:hint="eastAsia" w:eastAsia="方正仿宋_GBK"/>
          <w:sz w:val="32"/>
          <w:szCs w:val="32"/>
        </w:rPr>
        <w:t>建立企业监督机制，</w:t>
      </w:r>
      <w:r>
        <w:rPr>
          <w:rFonts w:eastAsia="方正仿宋_GBK"/>
          <w:kern w:val="0"/>
          <w:sz w:val="32"/>
          <w:szCs w:val="32"/>
        </w:rPr>
        <w:t>在区内遴选6位主要行业企业负责人担任营商环境监督员，对政策落实、政务公开、基层窗口服务等情况进行监督，并参与市级营商环境政策法规的制定，提出具有代表性的建议</w:t>
      </w:r>
      <w:r>
        <w:rPr>
          <w:rFonts w:hint="eastAsia" w:eastAsia="方正仿宋_GBK"/>
          <w:kern w:val="0"/>
          <w:sz w:val="32"/>
          <w:szCs w:val="32"/>
        </w:rPr>
        <w:t>。</w:t>
      </w:r>
      <w:r>
        <w:rPr>
          <w:rFonts w:hint="eastAsia" w:eastAsia="方正仿宋_GBK"/>
          <w:sz w:val="32"/>
          <w:szCs w:val="32"/>
        </w:rPr>
        <w:t>推进项目服务保障“一件事”改革，打造工程建设一站式服务专区，结合重大项目报审实际“私人定制”最优化流程，平均报审时间缩减30%以上。</w:t>
      </w:r>
      <w:r>
        <w:rPr>
          <w:rFonts w:eastAsia="方正仿宋_GBK"/>
          <w:sz w:val="32"/>
          <w:szCs w:val="32"/>
        </w:rPr>
        <w:t>集成电路产业链供应链质量联动提升项目获批国家试点，案例《精准施</w:t>
      </w:r>
      <w:r>
        <w:rPr>
          <w:rFonts w:hint="eastAsia" w:eastAsia="方正仿宋_GBK"/>
          <w:sz w:val="32"/>
          <w:szCs w:val="32"/>
        </w:rPr>
        <w:t>“</w:t>
      </w:r>
      <w:r>
        <w:rPr>
          <w:rFonts w:eastAsia="方正仿宋_GBK"/>
          <w:sz w:val="32"/>
          <w:szCs w:val="32"/>
        </w:rPr>
        <w:t>测</w:t>
      </w:r>
      <w:r>
        <w:rPr>
          <w:rFonts w:hint="eastAsia" w:eastAsia="方正仿宋_GBK"/>
          <w:sz w:val="32"/>
          <w:szCs w:val="32"/>
        </w:rPr>
        <w:t>”</w:t>
      </w:r>
      <w:r>
        <w:rPr>
          <w:rFonts w:eastAsia="方正仿宋_GBK"/>
          <w:sz w:val="32"/>
          <w:szCs w:val="32"/>
        </w:rPr>
        <w:t>激活集成电路产业链集群发展</w:t>
      </w:r>
      <w:r>
        <w:rPr>
          <w:rFonts w:hint="eastAsia" w:eastAsia="方正仿宋_GBK"/>
          <w:sz w:val="32"/>
          <w:szCs w:val="32"/>
        </w:rPr>
        <w:t>“</w:t>
      </w:r>
      <w:r>
        <w:rPr>
          <w:rFonts w:eastAsia="方正仿宋_GBK"/>
          <w:sz w:val="32"/>
          <w:szCs w:val="32"/>
        </w:rPr>
        <w:t>芯</w:t>
      </w:r>
      <w:r>
        <w:rPr>
          <w:rFonts w:hint="eastAsia" w:eastAsia="方正仿宋_GBK"/>
          <w:sz w:val="32"/>
          <w:szCs w:val="32"/>
        </w:rPr>
        <w:t>”</w:t>
      </w:r>
      <w:r>
        <w:rPr>
          <w:rFonts w:eastAsia="方正仿宋_GBK"/>
          <w:sz w:val="32"/>
          <w:szCs w:val="32"/>
        </w:rPr>
        <w:t>动能》入选全国质量强链工作典型</w:t>
      </w:r>
      <w:r>
        <w:rPr>
          <w:rFonts w:hint="eastAsia" w:eastAsia="方正仿宋_GBK"/>
          <w:sz w:val="32"/>
          <w:szCs w:val="32"/>
        </w:rPr>
        <w:t>。</w:t>
      </w:r>
    </w:p>
    <w:p w14:paraId="674AD751">
      <w:pPr>
        <w:widowControl/>
        <w:overflowPunct w:val="0"/>
        <w:snapToGrid w:val="0"/>
        <w:spacing w:line="550" w:lineRule="exact"/>
        <w:ind w:firstLine="640" w:firstLineChars="200"/>
        <w:rPr>
          <w:rFonts w:eastAsia="方正仿宋_GBK"/>
          <w:sz w:val="32"/>
          <w:szCs w:val="32"/>
        </w:rPr>
      </w:pPr>
      <w:r>
        <w:rPr>
          <w:rFonts w:eastAsia="方正楷体_GBK"/>
          <w:kern w:val="0"/>
          <w:sz w:val="32"/>
          <w:szCs w:val="32"/>
        </w:rPr>
        <w:t>（</w:t>
      </w:r>
      <w:r>
        <w:rPr>
          <w:rFonts w:hint="eastAsia" w:eastAsia="方正楷体_GBK"/>
          <w:kern w:val="0"/>
          <w:sz w:val="32"/>
          <w:szCs w:val="32"/>
        </w:rPr>
        <w:t>二</w:t>
      </w:r>
      <w:r>
        <w:rPr>
          <w:rFonts w:eastAsia="方正楷体_GBK"/>
          <w:kern w:val="0"/>
          <w:sz w:val="32"/>
          <w:szCs w:val="32"/>
        </w:rPr>
        <w:t>）</w:t>
      </w:r>
      <w:r>
        <w:rPr>
          <w:rFonts w:hint="eastAsia" w:eastAsia="方正楷体_GBK"/>
          <w:sz w:val="32"/>
          <w:szCs w:val="32"/>
        </w:rPr>
        <w:t>加快建设服务型政府。</w:t>
      </w:r>
      <w:r>
        <w:rPr>
          <w:rFonts w:hint="eastAsia" w:eastAsia="方正仿宋_GBK"/>
          <w:sz w:val="32"/>
          <w:szCs w:val="32"/>
        </w:rPr>
        <w:t>推进“高效办成一件事”改革，实现25个“一件事”场景常态化运行，围绕“个人从出生到身后、企业从设立到注销、工程项目从立项到竣工”三大领域全生命周期，提供主题式、套餐式服务。2024年，累计办理“高效办成一件事”联审联办业务6.95万余件，办理时间平均压缩40%以上。深化“数字政务”工作，依托“苏服办”电子证照平台，将身份证、营业执照、驾驶证等9类750个申报事项自动关联全省证照数据库，以“扫码”“窗口亮码”“线上调取”等方式，让群众“无感”办成个人事。2024年，调用证照事项数126个，调用电子证照12062次。</w:t>
      </w:r>
    </w:p>
    <w:p w14:paraId="0A32CF1D">
      <w:pPr>
        <w:overflowPunct w:val="0"/>
        <w:spacing w:line="550" w:lineRule="exact"/>
        <w:ind w:firstLine="640" w:firstLineChars="200"/>
        <w:rPr>
          <w:rFonts w:eastAsia="方正仿宋_GBK"/>
          <w:color w:val="FF0000"/>
          <w:sz w:val="32"/>
          <w:szCs w:val="32"/>
        </w:rPr>
      </w:pPr>
      <w:r>
        <w:rPr>
          <w:rFonts w:hint="eastAsia" w:eastAsia="方正楷体_GBK"/>
          <w:sz w:val="32"/>
          <w:szCs w:val="32"/>
        </w:rPr>
        <w:t>（三）强化精准高效监管。</w:t>
      </w:r>
      <w:r>
        <w:rPr>
          <w:rFonts w:eastAsia="方正仿宋_GBK"/>
          <w:sz w:val="32"/>
          <w:szCs w:val="32"/>
        </w:rPr>
        <w:t>深化</w:t>
      </w:r>
      <w:r>
        <w:rPr>
          <w:rFonts w:hint="eastAsia" w:eastAsia="方正仿宋_GBK"/>
          <w:sz w:val="32"/>
          <w:szCs w:val="32"/>
        </w:rPr>
        <w:t>“</w:t>
      </w:r>
      <w:r>
        <w:rPr>
          <w:rFonts w:eastAsia="方正仿宋_GBK"/>
          <w:sz w:val="32"/>
          <w:szCs w:val="32"/>
        </w:rPr>
        <w:t>双随机</w:t>
      </w:r>
      <w:r>
        <w:rPr>
          <w:rFonts w:hint="eastAsia" w:eastAsia="方正仿宋_GBK"/>
          <w:sz w:val="32"/>
          <w:szCs w:val="32"/>
        </w:rPr>
        <w:t>”</w:t>
      </w:r>
      <w:r>
        <w:rPr>
          <w:rFonts w:eastAsia="方正仿宋_GBK"/>
          <w:sz w:val="32"/>
          <w:szCs w:val="32"/>
        </w:rPr>
        <w:t>监管机制，开展双随机抽查任务264项，检查对象1732户，其中，区级联合抽查任务发起部门数占比首次达到100%，更加凸显联合执法监管导向。</w:t>
      </w:r>
      <w:r>
        <w:rPr>
          <w:rFonts w:hint="eastAsia" w:eastAsia="方正仿宋_GBK"/>
          <w:sz w:val="32"/>
          <w:szCs w:val="32"/>
        </w:rPr>
        <w:t>大力推进“互联网+监管”工作，组织28个部门认领监管事项目录清单717项，编制实施清单770项，</w:t>
      </w:r>
      <w:r>
        <w:rPr>
          <w:rFonts w:eastAsia="方正仿宋_GBK"/>
          <w:sz w:val="32"/>
          <w:szCs w:val="32"/>
        </w:rPr>
        <w:t>编制率</w:t>
      </w:r>
      <w:r>
        <w:rPr>
          <w:rFonts w:hint="eastAsia" w:eastAsia="方正仿宋_GBK"/>
          <w:sz w:val="32"/>
          <w:szCs w:val="32"/>
        </w:rPr>
        <w:t>100</w:t>
      </w:r>
      <w:r>
        <w:rPr>
          <w:rFonts w:eastAsia="方正仿宋_GBK"/>
          <w:sz w:val="32"/>
          <w:szCs w:val="32"/>
        </w:rPr>
        <w:t>%</w:t>
      </w:r>
      <w:r>
        <w:rPr>
          <w:rFonts w:hint="eastAsia" w:eastAsia="方正仿宋_GBK"/>
          <w:sz w:val="32"/>
          <w:szCs w:val="32"/>
        </w:rPr>
        <w:t>，监管行为</w:t>
      </w:r>
      <w:r>
        <w:rPr>
          <w:rFonts w:eastAsia="方正仿宋_GBK"/>
          <w:sz w:val="32"/>
          <w:szCs w:val="32"/>
        </w:rPr>
        <w:t>覆盖总数</w:t>
      </w:r>
      <w:r>
        <w:rPr>
          <w:rFonts w:hint="eastAsia" w:eastAsia="方正仿宋_GBK"/>
          <w:sz w:val="32"/>
          <w:szCs w:val="32"/>
        </w:rPr>
        <w:t>654</w:t>
      </w:r>
      <w:r>
        <w:rPr>
          <w:rFonts w:eastAsia="方正仿宋_GBK"/>
          <w:sz w:val="32"/>
          <w:szCs w:val="32"/>
        </w:rPr>
        <w:t>条，</w:t>
      </w:r>
      <w:r>
        <w:rPr>
          <w:rFonts w:hint="eastAsia" w:eastAsia="方正仿宋_GBK"/>
          <w:sz w:val="32"/>
          <w:szCs w:val="32"/>
        </w:rPr>
        <w:t>推动跨部门综合监管，提升监管效能</w:t>
      </w:r>
      <w:r>
        <w:rPr>
          <w:rFonts w:eastAsia="方正仿宋_GBK"/>
          <w:sz w:val="32"/>
          <w:szCs w:val="32"/>
        </w:rPr>
        <w:t>。</w:t>
      </w:r>
      <w:r>
        <w:rPr>
          <w:rFonts w:hint="eastAsia" w:eastAsia="方正仿宋_GBK"/>
          <w:sz w:val="32"/>
          <w:szCs w:val="32"/>
        </w:rPr>
        <w:t>推动社会信用体系高质量发展，年内已归集2515条“双公示”信息，包括1705条行政许可信息和810条行政处罚信息。实施个人信用审查632人次，实施企业信用审查2926家。</w:t>
      </w:r>
    </w:p>
    <w:p w14:paraId="14633F1D">
      <w:pPr>
        <w:overflowPunct w:val="0"/>
        <w:snapToGrid w:val="0"/>
        <w:spacing w:line="550" w:lineRule="exact"/>
        <w:ind w:firstLine="640" w:firstLineChars="200"/>
        <w:rPr>
          <w:rFonts w:eastAsia="方正黑体_GBK"/>
          <w:kern w:val="0"/>
          <w:sz w:val="32"/>
          <w:szCs w:val="32"/>
        </w:rPr>
      </w:pPr>
      <w:r>
        <w:rPr>
          <w:rFonts w:hint="eastAsia" w:eastAsia="方正黑体_GBK"/>
          <w:kern w:val="0"/>
          <w:sz w:val="32"/>
          <w:szCs w:val="32"/>
        </w:rPr>
        <w:t>三</w:t>
      </w:r>
      <w:r>
        <w:rPr>
          <w:rFonts w:eastAsia="方正仿宋_GBK"/>
          <w:sz w:val="32"/>
          <w:szCs w:val="32"/>
        </w:rPr>
        <w:t>、</w:t>
      </w:r>
      <w:r>
        <w:rPr>
          <w:rFonts w:hint="eastAsia" w:eastAsia="方正黑体_GBK"/>
          <w:kern w:val="0"/>
          <w:sz w:val="32"/>
          <w:szCs w:val="32"/>
        </w:rPr>
        <w:t>统筹协调优化制规质效</w:t>
      </w:r>
      <w:r>
        <w:rPr>
          <w:rFonts w:eastAsia="方正仿宋_GBK"/>
          <w:sz w:val="32"/>
          <w:szCs w:val="32"/>
        </w:rPr>
        <w:t>，</w:t>
      </w:r>
      <w:r>
        <w:rPr>
          <w:rFonts w:hint="eastAsia" w:eastAsia="方正黑体_GBK"/>
          <w:kern w:val="0"/>
          <w:sz w:val="32"/>
          <w:szCs w:val="32"/>
        </w:rPr>
        <w:t>服务新浦口现代化建设</w:t>
      </w:r>
    </w:p>
    <w:p w14:paraId="2743D356">
      <w:pPr>
        <w:overflowPunct w:val="0"/>
        <w:spacing w:line="550" w:lineRule="exact"/>
        <w:ind w:firstLine="640" w:firstLineChars="200"/>
        <w:rPr>
          <w:rFonts w:eastAsia="方正仿宋_GBK"/>
          <w:sz w:val="32"/>
          <w:szCs w:val="32"/>
        </w:rPr>
      </w:pPr>
      <w:r>
        <w:rPr>
          <w:rFonts w:hint="eastAsia" w:eastAsia="方正楷体_GBK"/>
          <w:sz w:val="32"/>
          <w:szCs w:val="32"/>
        </w:rPr>
        <w:t>（一）协调行政规范性文件制定。</w:t>
      </w:r>
      <w:r>
        <w:rPr>
          <w:rFonts w:hint="eastAsia" w:eastAsia="方正仿宋_GBK"/>
          <w:sz w:val="32"/>
          <w:szCs w:val="32"/>
        </w:rPr>
        <w:t>涉及公民、法人和其他组织权利义务、具有普遍约束力、可以反复适用的行政规范性文件，一律使用“规”字编号统一发布。出台《</w:t>
      </w:r>
      <w:r>
        <w:rPr>
          <w:rFonts w:eastAsia="方正仿宋_GBK"/>
          <w:kern w:val="0"/>
          <w:sz w:val="32"/>
          <w:szCs w:val="32"/>
          <w:shd w:val="clear" w:color="auto" w:fill="FFFFFF"/>
        </w:rPr>
        <w:t>关于建立浦口区合法性审查与公平竞争审查联动机制的通知</w:t>
      </w:r>
      <w:r>
        <w:rPr>
          <w:rFonts w:hint="eastAsia" w:eastAsia="方正仿宋_GBK"/>
          <w:sz w:val="32"/>
          <w:szCs w:val="32"/>
        </w:rPr>
        <w:t>》，</w:t>
      </w:r>
      <w:r>
        <w:rPr>
          <w:rFonts w:eastAsia="方正仿宋_GBK"/>
          <w:sz w:val="32"/>
          <w:szCs w:val="32"/>
        </w:rPr>
        <w:t>推动合法性审查与公平竞争审查协同联动。</w:t>
      </w:r>
      <w:r>
        <w:rPr>
          <w:rFonts w:hint="eastAsia" w:eastAsia="方正仿宋_GBK"/>
          <w:sz w:val="32"/>
          <w:szCs w:val="32"/>
        </w:rPr>
        <w:t>2024年，发布行政规范性文件3件，起草过程中采用网上公示、座谈会、问卷调查等方式广泛组织群众参与，全面听取意见，均开展了专家论证和风险评估，对涉及市场主体权益的文件进行公平竞争审查，切实保障群众、企业的合法权益。</w:t>
      </w:r>
    </w:p>
    <w:p w14:paraId="6F84FCC1">
      <w:pPr>
        <w:overflowPunct w:val="0"/>
        <w:spacing w:line="550" w:lineRule="exact"/>
        <w:ind w:firstLine="640" w:firstLineChars="200"/>
        <w:rPr>
          <w:rFonts w:eastAsia="方正仿宋_GBK"/>
          <w:sz w:val="32"/>
          <w:szCs w:val="32"/>
        </w:rPr>
      </w:pPr>
      <w:r>
        <w:rPr>
          <w:rFonts w:hint="eastAsia" w:eastAsia="方正楷体_GBK"/>
          <w:sz w:val="32"/>
          <w:szCs w:val="32"/>
        </w:rPr>
        <w:t>（二）强化行政规范性文件全面审查。</w:t>
      </w:r>
      <w:r>
        <w:rPr>
          <w:rFonts w:eastAsia="方正仿宋_GBK"/>
          <w:sz w:val="32"/>
          <w:szCs w:val="32"/>
        </w:rPr>
        <w:t>建立沟通预审机制，提前介入制定过程，</w:t>
      </w:r>
      <w:r>
        <w:rPr>
          <w:rFonts w:hint="eastAsia" w:eastAsia="方正仿宋_GBK"/>
          <w:sz w:val="32"/>
          <w:szCs w:val="32"/>
        </w:rPr>
        <w:t>审核机构</w:t>
      </w:r>
      <w:r>
        <w:rPr>
          <w:rFonts w:eastAsia="方正仿宋_GBK"/>
          <w:sz w:val="32"/>
          <w:szCs w:val="32"/>
        </w:rPr>
        <w:t>向起草单位发放《行政规范性文件制定送审指引》，实时跟进</w:t>
      </w:r>
      <w:r>
        <w:rPr>
          <w:rFonts w:hint="eastAsia" w:eastAsia="方正仿宋_GBK"/>
          <w:sz w:val="32"/>
          <w:szCs w:val="32"/>
        </w:rPr>
        <w:t>行政</w:t>
      </w:r>
      <w:r>
        <w:rPr>
          <w:rFonts w:eastAsia="方正仿宋_GBK"/>
          <w:sz w:val="32"/>
          <w:szCs w:val="32"/>
        </w:rPr>
        <w:t>规范性文件制定各环节。建立从制定主体、制定权限、制定程序、制定内容四个方面入手的</w:t>
      </w:r>
      <w:r>
        <w:rPr>
          <w:rFonts w:hint="eastAsia" w:eastAsia="方正仿宋_GBK"/>
          <w:sz w:val="32"/>
          <w:szCs w:val="32"/>
        </w:rPr>
        <w:t>“</w:t>
      </w:r>
      <w:r>
        <w:rPr>
          <w:rFonts w:eastAsia="方正仿宋_GBK"/>
          <w:sz w:val="32"/>
          <w:szCs w:val="32"/>
        </w:rPr>
        <w:t>四要素</w:t>
      </w:r>
      <w:r>
        <w:rPr>
          <w:rFonts w:hint="eastAsia" w:eastAsia="方正仿宋_GBK"/>
          <w:sz w:val="32"/>
          <w:szCs w:val="32"/>
        </w:rPr>
        <w:t>”</w:t>
      </w:r>
      <w:r>
        <w:rPr>
          <w:rFonts w:eastAsia="方正仿宋_GBK"/>
          <w:sz w:val="32"/>
          <w:szCs w:val="32"/>
        </w:rPr>
        <w:t>审查模式，确保</w:t>
      </w:r>
      <w:r>
        <w:rPr>
          <w:rFonts w:hint="eastAsia" w:eastAsia="方正仿宋_GBK"/>
          <w:sz w:val="32"/>
          <w:szCs w:val="32"/>
        </w:rPr>
        <w:t>行政</w:t>
      </w:r>
      <w:r>
        <w:rPr>
          <w:rFonts w:eastAsia="方正仿宋_GBK"/>
          <w:sz w:val="32"/>
          <w:szCs w:val="32"/>
        </w:rPr>
        <w:t>规范性文件制定主体适当、权限法定、程序正当、内容合法。</w:t>
      </w:r>
      <w:r>
        <w:rPr>
          <w:rFonts w:hint="eastAsia" w:eastAsia="方正仿宋_GBK"/>
          <w:sz w:val="32"/>
          <w:szCs w:val="32"/>
        </w:rPr>
        <w:t>2024年，</w:t>
      </w:r>
      <w:r>
        <w:rPr>
          <w:rFonts w:eastAsia="方正仿宋_GBK"/>
          <w:sz w:val="32"/>
          <w:szCs w:val="32"/>
        </w:rPr>
        <w:t>审查《浦口区区长质量奖评定管理办法》</w:t>
      </w:r>
      <w:r>
        <w:rPr>
          <w:rFonts w:hint="eastAsia" w:eastAsia="方正仿宋_GBK"/>
          <w:sz w:val="32"/>
          <w:szCs w:val="32"/>
        </w:rPr>
        <w:t>等行政规范性文件4件，</w:t>
      </w:r>
      <w:r>
        <w:rPr>
          <w:rFonts w:eastAsia="方正仿宋_GBK"/>
          <w:sz w:val="32"/>
          <w:szCs w:val="32"/>
        </w:rPr>
        <w:t>均严格从制定权限、制定</w:t>
      </w:r>
      <w:r>
        <w:rPr>
          <w:rFonts w:hint="eastAsia" w:eastAsia="方正仿宋_GBK"/>
          <w:sz w:val="32"/>
          <w:szCs w:val="32"/>
        </w:rPr>
        <w:t>程序</w:t>
      </w:r>
      <w:r>
        <w:rPr>
          <w:rFonts w:eastAsia="方正仿宋_GBK"/>
          <w:sz w:val="32"/>
          <w:szCs w:val="32"/>
        </w:rPr>
        <w:t>、制定</w:t>
      </w:r>
      <w:r>
        <w:rPr>
          <w:rFonts w:hint="eastAsia" w:eastAsia="方正仿宋_GBK"/>
          <w:sz w:val="32"/>
          <w:szCs w:val="32"/>
        </w:rPr>
        <w:t>内容</w:t>
      </w:r>
      <w:r>
        <w:rPr>
          <w:rFonts w:eastAsia="方正仿宋_GBK"/>
          <w:sz w:val="32"/>
          <w:szCs w:val="32"/>
        </w:rPr>
        <w:t>等方面进行了全面审查，提出修改建议17条。</w:t>
      </w:r>
    </w:p>
    <w:p w14:paraId="16CB1BF9">
      <w:pPr>
        <w:overflowPunct w:val="0"/>
        <w:spacing w:line="550" w:lineRule="exact"/>
        <w:ind w:firstLine="640" w:firstLineChars="200"/>
        <w:rPr>
          <w:rFonts w:eastAsia="方正仿宋_GBK"/>
          <w:sz w:val="32"/>
          <w:szCs w:val="32"/>
        </w:rPr>
      </w:pPr>
      <w:r>
        <w:rPr>
          <w:rFonts w:hint="eastAsia" w:eastAsia="方正楷体_GBK"/>
          <w:sz w:val="32"/>
          <w:szCs w:val="32"/>
        </w:rPr>
        <w:t>（三）加强行政规范性文件监督管理。</w:t>
      </w:r>
      <w:r>
        <w:rPr>
          <w:rFonts w:hint="eastAsia" w:eastAsia="方正仿宋_GBK"/>
          <w:sz w:val="32"/>
          <w:szCs w:val="32"/>
        </w:rPr>
        <w:t>加强对行政规范性文件制定指导监管，推动文件管理制度</w:t>
      </w:r>
      <w:r>
        <w:rPr>
          <w:rFonts w:eastAsia="方正仿宋_GBK"/>
          <w:sz w:val="32"/>
          <w:szCs w:val="32"/>
        </w:rPr>
        <w:t>化</w:t>
      </w:r>
      <w:r>
        <w:rPr>
          <w:rFonts w:hint="eastAsia" w:eastAsia="方正仿宋_GBK"/>
          <w:sz w:val="32"/>
          <w:szCs w:val="32"/>
        </w:rPr>
        <w:t>、规范</w:t>
      </w:r>
      <w:r>
        <w:rPr>
          <w:rFonts w:eastAsia="方正仿宋_GBK"/>
          <w:sz w:val="32"/>
          <w:szCs w:val="32"/>
        </w:rPr>
        <w:t>化</w:t>
      </w:r>
      <w:r>
        <w:rPr>
          <w:rFonts w:hint="eastAsia" w:eastAsia="方正仿宋_GBK"/>
          <w:sz w:val="32"/>
          <w:szCs w:val="32"/>
        </w:rPr>
        <w:t>，</w:t>
      </w:r>
      <w:r>
        <w:rPr>
          <w:rFonts w:eastAsia="方正仿宋_GBK"/>
          <w:bCs/>
          <w:sz w:val="32"/>
          <w:szCs w:val="32"/>
        </w:rPr>
        <w:t>实现行政规范性文件制定、审核和监督的闭环管理</w:t>
      </w:r>
      <w:r>
        <w:rPr>
          <w:rFonts w:hint="eastAsia" w:eastAsia="方正仿宋_GBK"/>
          <w:sz w:val="32"/>
          <w:szCs w:val="32"/>
        </w:rPr>
        <w:t>。</w:t>
      </w:r>
      <w:r>
        <w:rPr>
          <w:rFonts w:eastAsia="方正仿宋_GBK"/>
          <w:color w:val="000000"/>
          <w:sz w:val="32"/>
          <w:szCs w:val="32"/>
        </w:rPr>
        <w:t>根据上位法制定、修改、废止情况，对</w:t>
      </w:r>
      <w:r>
        <w:rPr>
          <w:rFonts w:hint="eastAsia" w:eastAsia="方正仿宋_GBK"/>
          <w:color w:val="000000"/>
          <w:sz w:val="32"/>
          <w:szCs w:val="32"/>
        </w:rPr>
        <w:t>行政</w:t>
      </w:r>
      <w:r>
        <w:rPr>
          <w:rFonts w:eastAsia="方正仿宋_GBK"/>
          <w:color w:val="000000"/>
          <w:sz w:val="32"/>
          <w:szCs w:val="32"/>
        </w:rPr>
        <w:t>规范性文件开展定期和专项清理活动。</w:t>
      </w:r>
      <w:r>
        <w:rPr>
          <w:rFonts w:hint="eastAsia" w:eastAsia="方正仿宋_GBK"/>
          <w:sz w:val="32"/>
          <w:szCs w:val="32"/>
        </w:rPr>
        <w:t>2024年，</w:t>
      </w:r>
      <w:r>
        <w:rPr>
          <w:rFonts w:eastAsia="方正仿宋_GBK"/>
          <w:color w:val="000000"/>
          <w:sz w:val="32"/>
          <w:szCs w:val="32"/>
        </w:rPr>
        <w:t>按照省、市</w:t>
      </w:r>
      <w:r>
        <w:rPr>
          <w:rFonts w:hint="eastAsia" w:eastAsia="方正仿宋_GBK"/>
          <w:color w:val="000000"/>
          <w:sz w:val="32"/>
          <w:szCs w:val="32"/>
        </w:rPr>
        <w:t>行政</w:t>
      </w:r>
      <w:r>
        <w:rPr>
          <w:rFonts w:eastAsia="方正仿宋_GBK"/>
          <w:color w:val="000000"/>
          <w:sz w:val="32"/>
          <w:szCs w:val="32"/>
        </w:rPr>
        <w:t>规范性文件清理要求，</w:t>
      </w:r>
      <w:r>
        <w:rPr>
          <w:rFonts w:eastAsia="方正仿宋_GBK"/>
          <w:kern w:val="0"/>
          <w:sz w:val="32"/>
          <w:szCs w:val="32"/>
        </w:rPr>
        <w:t>对</w:t>
      </w:r>
      <w:r>
        <w:rPr>
          <w:rFonts w:hint="eastAsia" w:eastAsia="方正仿宋_GBK"/>
          <w:sz w:val="32"/>
          <w:szCs w:val="32"/>
        </w:rPr>
        <w:t>涉及行政复议、涉及企业的行政</w:t>
      </w:r>
      <w:r>
        <w:rPr>
          <w:rFonts w:eastAsia="方正仿宋_GBK"/>
          <w:kern w:val="0"/>
          <w:sz w:val="32"/>
          <w:szCs w:val="32"/>
        </w:rPr>
        <w:t>规范性文件开展</w:t>
      </w:r>
      <w:r>
        <w:rPr>
          <w:rFonts w:hint="eastAsia" w:eastAsia="方正仿宋_GBK"/>
          <w:kern w:val="0"/>
          <w:sz w:val="32"/>
          <w:szCs w:val="32"/>
        </w:rPr>
        <w:t>2</w:t>
      </w:r>
      <w:r>
        <w:rPr>
          <w:rFonts w:eastAsia="方正仿宋_GBK"/>
          <w:kern w:val="0"/>
          <w:sz w:val="32"/>
          <w:szCs w:val="32"/>
        </w:rPr>
        <w:t>次专项清理。</w:t>
      </w:r>
      <w:r>
        <w:rPr>
          <w:rFonts w:hint="eastAsia" w:eastAsia="方正仿宋_GBK"/>
          <w:sz w:val="32"/>
          <w:szCs w:val="32"/>
        </w:rPr>
        <w:t>坚持行政规范性文件发布后15日内报送市政府、区人大备案，全区37件行政规范性文件全部网上备案，报备率、及时率、规范率达100%。</w:t>
      </w:r>
    </w:p>
    <w:p w14:paraId="4EDD23FA">
      <w:pPr>
        <w:overflowPunct w:val="0"/>
        <w:snapToGrid w:val="0"/>
        <w:spacing w:line="550" w:lineRule="exact"/>
        <w:ind w:firstLine="640" w:firstLineChars="200"/>
        <w:rPr>
          <w:rFonts w:eastAsia="方正黑体_GBK"/>
          <w:sz w:val="32"/>
          <w:szCs w:val="32"/>
        </w:rPr>
      </w:pPr>
      <w:r>
        <w:rPr>
          <w:rFonts w:hint="eastAsia" w:eastAsia="方正黑体_GBK"/>
          <w:sz w:val="32"/>
          <w:szCs w:val="32"/>
        </w:rPr>
        <w:t>四</w:t>
      </w:r>
      <w:r>
        <w:rPr>
          <w:rFonts w:hint="eastAsia" w:eastAsia="方正仿宋_GBK"/>
          <w:sz w:val="32"/>
          <w:szCs w:val="32"/>
        </w:rPr>
        <w:t>、</w:t>
      </w:r>
      <w:r>
        <w:rPr>
          <w:rFonts w:hint="eastAsia" w:eastAsia="方正黑体_GBK"/>
          <w:sz w:val="32"/>
          <w:szCs w:val="32"/>
        </w:rPr>
        <w:t>严格规范公正文明执法</w:t>
      </w:r>
      <w:r>
        <w:rPr>
          <w:rFonts w:eastAsia="方正仿宋_GBK"/>
          <w:sz w:val="32"/>
          <w:szCs w:val="32"/>
        </w:rPr>
        <w:t>，</w:t>
      </w:r>
      <w:r>
        <w:rPr>
          <w:rFonts w:hint="eastAsia" w:eastAsia="方正黑体_GBK"/>
          <w:sz w:val="32"/>
          <w:szCs w:val="32"/>
        </w:rPr>
        <w:t>全面提升行政执法质量</w:t>
      </w:r>
    </w:p>
    <w:p w14:paraId="153B6FE1">
      <w:pPr>
        <w:overflowPunct w:val="0"/>
        <w:spacing w:line="550" w:lineRule="exact"/>
        <w:ind w:firstLine="640" w:firstLineChars="200"/>
        <w:rPr>
          <w:rFonts w:eastAsia="方正仿宋_GBK"/>
          <w:sz w:val="32"/>
          <w:szCs w:val="32"/>
        </w:rPr>
      </w:pPr>
      <w:r>
        <w:rPr>
          <w:rFonts w:eastAsia="方正楷体_GBK"/>
          <w:sz w:val="32"/>
          <w:szCs w:val="32"/>
        </w:rPr>
        <w:t>（一）深化执法体制改革。</w:t>
      </w:r>
      <w:r>
        <w:rPr>
          <w:rFonts w:eastAsia="方正仿宋_GBK"/>
          <w:sz w:val="32"/>
          <w:szCs w:val="32"/>
        </w:rPr>
        <w:t>多项检查事项集中到</w:t>
      </w:r>
      <w:r>
        <w:rPr>
          <w:rFonts w:hint="eastAsia" w:eastAsia="方正仿宋_GBK"/>
          <w:sz w:val="32"/>
          <w:szCs w:val="32"/>
        </w:rPr>
        <w:t>“</w:t>
      </w:r>
      <w:r>
        <w:rPr>
          <w:rFonts w:eastAsia="方正仿宋_GBK"/>
          <w:sz w:val="32"/>
          <w:szCs w:val="32"/>
        </w:rPr>
        <w:t>一张清单</w:t>
      </w:r>
      <w:r>
        <w:rPr>
          <w:rFonts w:hint="eastAsia" w:eastAsia="方正仿宋_GBK"/>
          <w:sz w:val="32"/>
          <w:szCs w:val="32"/>
        </w:rPr>
        <w:t>”</w:t>
      </w:r>
      <w:r>
        <w:rPr>
          <w:rFonts w:eastAsia="方正仿宋_GBK"/>
          <w:sz w:val="32"/>
          <w:szCs w:val="32"/>
        </w:rPr>
        <w:t>，垃圾分类、安全生产、扬尘管控、污染防治、噪音治理等行政执法检查事项归并整合，统筹设置十余个执法检查场景，多个执法部门同一时间、针对同一执法对象开展联合检查，变</w:t>
      </w:r>
      <w:r>
        <w:rPr>
          <w:rFonts w:hint="eastAsia" w:eastAsia="方正仿宋_GBK"/>
          <w:sz w:val="32"/>
          <w:szCs w:val="32"/>
        </w:rPr>
        <w:t>“</w:t>
      </w:r>
      <w:r>
        <w:rPr>
          <w:rFonts w:eastAsia="方正仿宋_GBK"/>
          <w:sz w:val="32"/>
          <w:szCs w:val="32"/>
        </w:rPr>
        <w:t>单次检查</w:t>
      </w:r>
      <w:r>
        <w:rPr>
          <w:rFonts w:hint="eastAsia" w:eastAsia="方正仿宋_GBK"/>
          <w:sz w:val="32"/>
          <w:szCs w:val="32"/>
        </w:rPr>
        <w:t>”</w:t>
      </w:r>
      <w:r>
        <w:rPr>
          <w:rFonts w:eastAsia="方正仿宋_GBK"/>
          <w:sz w:val="32"/>
          <w:szCs w:val="32"/>
        </w:rPr>
        <w:t>为</w:t>
      </w:r>
      <w:r>
        <w:rPr>
          <w:rFonts w:hint="eastAsia" w:eastAsia="方正仿宋_GBK"/>
          <w:sz w:val="32"/>
          <w:szCs w:val="32"/>
        </w:rPr>
        <w:t>“</w:t>
      </w:r>
      <w:r>
        <w:rPr>
          <w:rFonts w:eastAsia="方正仿宋_GBK"/>
          <w:sz w:val="32"/>
          <w:szCs w:val="32"/>
        </w:rPr>
        <w:t>综合体检</w:t>
      </w:r>
      <w:r>
        <w:rPr>
          <w:rFonts w:hint="eastAsia" w:eastAsia="方正仿宋_GBK"/>
          <w:sz w:val="32"/>
          <w:szCs w:val="32"/>
        </w:rPr>
        <w:t>”</w:t>
      </w:r>
      <w:r>
        <w:rPr>
          <w:rFonts w:eastAsia="方正仿宋_GBK"/>
          <w:sz w:val="32"/>
          <w:szCs w:val="32"/>
        </w:rPr>
        <w:t>，最大限度减少执法扰民，检查频次同比减少53.5%。</w:t>
      </w:r>
      <w:r>
        <w:rPr>
          <w:rFonts w:hint="eastAsia" w:eastAsia="方正仿宋_GBK"/>
          <w:sz w:val="32"/>
          <w:szCs w:val="32"/>
        </w:rPr>
        <w:t>通过</w:t>
      </w:r>
      <w:r>
        <w:rPr>
          <w:rFonts w:eastAsia="方正仿宋_GBK"/>
          <w:sz w:val="32"/>
          <w:szCs w:val="32"/>
        </w:rPr>
        <w:t>综合执法联席会办</w:t>
      </w:r>
      <w:r>
        <w:rPr>
          <w:rFonts w:hint="eastAsia" w:eastAsia="方正仿宋_GBK"/>
          <w:sz w:val="32"/>
          <w:szCs w:val="32"/>
        </w:rPr>
        <w:t>，聚焦</w:t>
      </w:r>
      <w:r>
        <w:rPr>
          <w:rFonts w:eastAsia="方正仿宋_GBK"/>
          <w:sz w:val="32"/>
          <w:szCs w:val="32"/>
        </w:rPr>
        <w:t>道路占用挖掘、建筑垃圾监管、</w:t>
      </w:r>
      <w:r>
        <w:rPr>
          <w:rFonts w:hint="eastAsia" w:eastAsia="方正仿宋_GBK"/>
          <w:sz w:val="32"/>
          <w:szCs w:val="32"/>
        </w:rPr>
        <w:t>房屋安全鉴定</w:t>
      </w:r>
      <w:r>
        <w:rPr>
          <w:rFonts w:eastAsia="方正仿宋_GBK"/>
          <w:sz w:val="32"/>
          <w:szCs w:val="32"/>
        </w:rPr>
        <w:t>等33项疑难复杂事项</w:t>
      </w:r>
      <w:r>
        <w:rPr>
          <w:rFonts w:hint="eastAsia" w:eastAsia="方正仿宋_GBK"/>
          <w:sz w:val="32"/>
          <w:szCs w:val="32"/>
        </w:rPr>
        <w:t>定期</w:t>
      </w:r>
      <w:r>
        <w:rPr>
          <w:rFonts w:eastAsia="方正仿宋_GBK"/>
          <w:sz w:val="32"/>
          <w:szCs w:val="32"/>
        </w:rPr>
        <w:t>研讨会商</w:t>
      </w:r>
      <w:r>
        <w:rPr>
          <w:rFonts w:hint="eastAsia" w:eastAsia="方正仿宋_GBK"/>
          <w:sz w:val="32"/>
          <w:szCs w:val="32"/>
        </w:rPr>
        <w:t>，</w:t>
      </w:r>
      <w:bookmarkStart w:id="1" w:name="OLE_LINK4"/>
      <w:r>
        <w:rPr>
          <w:rFonts w:eastAsia="方正仿宋_GBK"/>
          <w:sz w:val="32"/>
          <w:szCs w:val="32"/>
        </w:rPr>
        <w:t>一些跨部门、跨领域、难处理的事项</w:t>
      </w:r>
      <w:r>
        <w:rPr>
          <w:rFonts w:hint="eastAsia" w:eastAsia="方正仿宋_GBK"/>
          <w:sz w:val="32"/>
          <w:szCs w:val="32"/>
        </w:rPr>
        <w:t>得到高效化解</w:t>
      </w:r>
      <w:r>
        <w:rPr>
          <w:rFonts w:eastAsia="方正仿宋_GBK"/>
          <w:sz w:val="32"/>
          <w:szCs w:val="32"/>
        </w:rPr>
        <w:t>。</w:t>
      </w:r>
      <w:bookmarkEnd w:id="1"/>
      <w:r>
        <w:rPr>
          <w:rFonts w:eastAsia="方正仿宋_GBK"/>
          <w:sz w:val="32"/>
          <w:szCs w:val="32"/>
        </w:rPr>
        <w:t>相关做法被市营商环境应用场景采纳，在</w:t>
      </w:r>
      <w:r>
        <w:rPr>
          <w:rFonts w:hint="eastAsia" w:eastAsia="方正仿宋_GBK"/>
          <w:sz w:val="32"/>
          <w:szCs w:val="32"/>
        </w:rPr>
        <w:t>江苏电视台、</w:t>
      </w:r>
      <w:r>
        <w:rPr>
          <w:rFonts w:eastAsia="方正仿宋_GBK"/>
          <w:sz w:val="32"/>
          <w:szCs w:val="32"/>
        </w:rPr>
        <w:t>南京电视台宣传推广。</w:t>
      </w:r>
    </w:p>
    <w:p w14:paraId="1C2522ED">
      <w:pPr>
        <w:overflowPunct w:val="0"/>
        <w:spacing w:line="550" w:lineRule="exact"/>
        <w:ind w:firstLine="640" w:firstLineChars="200"/>
        <w:rPr>
          <w:rFonts w:eastAsia="方正仿宋_GBK"/>
          <w:sz w:val="32"/>
          <w:szCs w:val="32"/>
        </w:rPr>
      </w:pPr>
      <w:r>
        <w:rPr>
          <w:rFonts w:eastAsia="方正楷体_GBK"/>
          <w:sz w:val="32"/>
          <w:szCs w:val="32"/>
        </w:rPr>
        <w:t>（二）</w:t>
      </w:r>
      <w:r>
        <w:rPr>
          <w:rFonts w:hint="eastAsia" w:eastAsia="方正楷体_GBK"/>
          <w:sz w:val="32"/>
          <w:szCs w:val="32"/>
        </w:rPr>
        <w:t>加强</w:t>
      </w:r>
      <w:r>
        <w:rPr>
          <w:rFonts w:eastAsia="方正楷体_GBK"/>
          <w:sz w:val="32"/>
          <w:szCs w:val="32"/>
        </w:rPr>
        <w:t>执法规范化建设。</w:t>
      </w:r>
      <w:r>
        <w:rPr>
          <w:rFonts w:hint="eastAsia" w:eastAsia="方正仿宋_GBK"/>
          <w:sz w:val="32"/>
          <w:szCs w:val="32"/>
        </w:rPr>
        <w:t>出台</w:t>
      </w:r>
      <w:r>
        <w:rPr>
          <w:rFonts w:eastAsia="方正仿宋_GBK"/>
          <w:sz w:val="32"/>
          <w:szCs w:val="32"/>
        </w:rPr>
        <w:t>《关于贯彻落实</w:t>
      </w:r>
      <w:r>
        <w:rPr>
          <w:rFonts w:hint="eastAsia" w:eastAsia="方正仿宋_GBK"/>
          <w:sz w:val="32"/>
          <w:szCs w:val="32"/>
        </w:rPr>
        <w:t>〈</w:t>
      </w:r>
      <w:r>
        <w:rPr>
          <w:rFonts w:eastAsia="方正仿宋_GBK"/>
          <w:sz w:val="32"/>
          <w:szCs w:val="32"/>
        </w:rPr>
        <w:t>提升行政执法质量三年行动计划（2023—2025）</w:t>
      </w:r>
      <w:r>
        <w:rPr>
          <w:rFonts w:hint="eastAsia" w:eastAsia="方正仿宋_GBK"/>
          <w:sz w:val="32"/>
          <w:szCs w:val="32"/>
        </w:rPr>
        <w:t>〉</w:t>
      </w:r>
      <w:r>
        <w:rPr>
          <w:rFonts w:eastAsia="方正仿宋_GBK"/>
          <w:sz w:val="32"/>
          <w:szCs w:val="32"/>
        </w:rPr>
        <w:t>重点任务清单》</w:t>
      </w:r>
      <w:r>
        <w:rPr>
          <w:rFonts w:hint="eastAsia" w:eastAsia="方正仿宋_GBK"/>
          <w:sz w:val="32"/>
          <w:szCs w:val="32"/>
        </w:rPr>
        <w:t>，召开提升行政执法质量三年行动暨行政执法突出问题专项整治工作推进会，有序部署落实相关工作。</w:t>
      </w:r>
      <w:r>
        <w:rPr>
          <w:rFonts w:eastAsia="方正仿宋_GBK"/>
          <w:sz w:val="32"/>
          <w:szCs w:val="32"/>
        </w:rPr>
        <w:t>开展全区新领</w:t>
      </w:r>
      <w:r>
        <w:rPr>
          <w:rFonts w:hint="eastAsia" w:eastAsia="方正仿宋_GBK"/>
          <w:sz w:val="32"/>
          <w:szCs w:val="32"/>
        </w:rPr>
        <w:t>执法</w:t>
      </w:r>
      <w:r>
        <w:rPr>
          <w:rFonts w:eastAsia="方正仿宋_GBK"/>
          <w:sz w:val="32"/>
          <w:szCs w:val="32"/>
        </w:rPr>
        <w:t>证人员公共法律知识培训班、法制审核能力提升培训班等线下</w:t>
      </w:r>
      <w:r>
        <w:rPr>
          <w:rFonts w:hint="eastAsia" w:eastAsia="方正仿宋_GBK"/>
          <w:sz w:val="32"/>
          <w:szCs w:val="32"/>
        </w:rPr>
        <w:t>培训3期，</w:t>
      </w:r>
      <w:r>
        <w:rPr>
          <w:rFonts w:eastAsia="方正仿宋_GBK"/>
          <w:sz w:val="32"/>
          <w:szCs w:val="32"/>
        </w:rPr>
        <w:t>组织</w:t>
      </w:r>
      <w:r>
        <w:rPr>
          <w:rFonts w:hint="eastAsia" w:eastAsia="方正仿宋_GBK"/>
          <w:sz w:val="32"/>
          <w:szCs w:val="32"/>
        </w:rPr>
        <w:t>全区</w:t>
      </w:r>
      <w:r>
        <w:rPr>
          <w:rFonts w:eastAsia="方正仿宋_GBK"/>
          <w:sz w:val="32"/>
          <w:szCs w:val="32"/>
        </w:rPr>
        <w:t>72</w:t>
      </w:r>
      <w:r>
        <w:rPr>
          <w:rFonts w:hint="eastAsia" w:eastAsia="方正仿宋_GBK"/>
          <w:sz w:val="32"/>
          <w:szCs w:val="32"/>
        </w:rPr>
        <w:t>3</w:t>
      </w:r>
      <w:r>
        <w:rPr>
          <w:rFonts w:eastAsia="方正仿宋_GBK"/>
          <w:sz w:val="32"/>
          <w:szCs w:val="32"/>
        </w:rPr>
        <w:t>名已领取</w:t>
      </w:r>
      <w:r>
        <w:rPr>
          <w:rFonts w:hint="eastAsia" w:eastAsia="方正仿宋_GBK"/>
          <w:sz w:val="32"/>
          <w:szCs w:val="32"/>
        </w:rPr>
        <w:t>行政执法证</w:t>
      </w:r>
      <w:r>
        <w:rPr>
          <w:rFonts w:eastAsia="方正仿宋_GBK"/>
          <w:sz w:val="32"/>
          <w:szCs w:val="32"/>
        </w:rPr>
        <w:t>人员参加公共法律知识20</w:t>
      </w:r>
      <w:r>
        <w:rPr>
          <w:rFonts w:hint="eastAsia" w:eastAsia="方正仿宋_GBK"/>
          <w:sz w:val="32"/>
          <w:szCs w:val="32"/>
        </w:rPr>
        <w:t>.5</w:t>
      </w:r>
      <w:r>
        <w:rPr>
          <w:rFonts w:eastAsia="方正仿宋_GBK"/>
          <w:sz w:val="32"/>
          <w:szCs w:val="32"/>
        </w:rPr>
        <w:t>学时</w:t>
      </w:r>
      <w:r>
        <w:rPr>
          <w:rFonts w:hint="eastAsia" w:eastAsia="方正仿宋_GBK"/>
          <w:sz w:val="32"/>
          <w:szCs w:val="32"/>
        </w:rPr>
        <w:t>“云平台”线上培训</w:t>
      </w:r>
      <w:r>
        <w:rPr>
          <w:rFonts w:eastAsia="方正仿宋_GBK"/>
          <w:sz w:val="32"/>
          <w:szCs w:val="32"/>
        </w:rPr>
        <w:t>。</w:t>
      </w:r>
      <w:r>
        <w:rPr>
          <w:rFonts w:hint="eastAsia" w:eastAsia="方正仿宋_GBK"/>
          <w:sz w:val="32"/>
          <w:szCs w:val="32"/>
        </w:rPr>
        <w:t>依托江苏警官学院实训基地，</w:t>
      </w:r>
      <w:r>
        <w:rPr>
          <w:rFonts w:eastAsia="方正仿宋_GBK"/>
          <w:sz w:val="32"/>
          <w:szCs w:val="32"/>
        </w:rPr>
        <w:t>丰富、拓展</w:t>
      </w:r>
      <w:r>
        <w:rPr>
          <w:rFonts w:hint="eastAsia" w:eastAsia="方正仿宋_GBK"/>
          <w:sz w:val="32"/>
          <w:szCs w:val="32"/>
        </w:rPr>
        <w:t>、</w:t>
      </w:r>
      <w:r>
        <w:rPr>
          <w:rFonts w:eastAsia="方正仿宋_GBK"/>
          <w:sz w:val="32"/>
          <w:szCs w:val="32"/>
        </w:rPr>
        <w:t>创新</w:t>
      </w:r>
      <w:r>
        <w:rPr>
          <w:rFonts w:hint="eastAsia" w:eastAsia="方正仿宋_GBK"/>
          <w:sz w:val="32"/>
          <w:szCs w:val="32"/>
        </w:rPr>
        <w:t>“</w:t>
      </w:r>
      <w:r>
        <w:rPr>
          <w:rFonts w:eastAsia="方正仿宋_GBK"/>
          <w:sz w:val="32"/>
          <w:szCs w:val="32"/>
        </w:rPr>
        <w:t>校地共建</w:t>
      </w:r>
      <w:r>
        <w:rPr>
          <w:rFonts w:hint="eastAsia" w:eastAsia="方正仿宋_GBK"/>
          <w:sz w:val="32"/>
          <w:szCs w:val="32"/>
        </w:rPr>
        <w:t>”</w:t>
      </w:r>
      <w:r>
        <w:rPr>
          <w:rFonts w:eastAsia="方正仿宋_GBK"/>
          <w:sz w:val="32"/>
          <w:szCs w:val="32"/>
        </w:rPr>
        <w:t>内涵</w:t>
      </w:r>
      <w:r>
        <w:rPr>
          <w:rFonts w:hint="eastAsia" w:eastAsia="方正仿宋_GBK"/>
          <w:sz w:val="32"/>
          <w:szCs w:val="32"/>
        </w:rPr>
        <w:t>，</w:t>
      </w:r>
      <w:r>
        <w:rPr>
          <w:rFonts w:eastAsia="方正仿宋_GBK"/>
          <w:sz w:val="32"/>
          <w:szCs w:val="32"/>
        </w:rPr>
        <w:t>实行分级分类施训、全员覆盖参训</w:t>
      </w:r>
      <w:r>
        <w:rPr>
          <w:rFonts w:hint="eastAsia" w:eastAsia="方正仿宋_GBK"/>
          <w:sz w:val="32"/>
          <w:szCs w:val="32"/>
        </w:rPr>
        <w:t>，共</w:t>
      </w:r>
      <w:bookmarkStart w:id="2" w:name="OLE_LINK5"/>
      <w:r>
        <w:rPr>
          <w:rFonts w:eastAsia="方正仿宋_GBK"/>
          <w:sz w:val="32"/>
          <w:szCs w:val="32"/>
        </w:rPr>
        <w:t>举办领导干部培训班2期</w:t>
      </w:r>
      <w:r>
        <w:rPr>
          <w:rFonts w:hint="eastAsia" w:eastAsia="方正仿宋_GBK"/>
          <w:sz w:val="32"/>
          <w:szCs w:val="32"/>
        </w:rPr>
        <w:t>、</w:t>
      </w:r>
      <w:r>
        <w:rPr>
          <w:rFonts w:eastAsia="方正仿宋_GBK"/>
          <w:sz w:val="32"/>
          <w:szCs w:val="32"/>
        </w:rPr>
        <w:t>法制员专题研修班1期</w:t>
      </w:r>
      <w:r>
        <w:rPr>
          <w:rFonts w:hint="eastAsia" w:eastAsia="方正仿宋_GBK"/>
          <w:sz w:val="32"/>
          <w:szCs w:val="32"/>
        </w:rPr>
        <w:t>、执法骨干培训班2期、新入职执法人员培训班1期、专题领域执法培训10期，1000余名业务骨干集中参训受训。</w:t>
      </w:r>
      <w:bookmarkEnd w:id="2"/>
    </w:p>
    <w:p w14:paraId="6D326FE2">
      <w:pPr>
        <w:overflowPunct w:val="0"/>
        <w:spacing w:line="550" w:lineRule="exact"/>
        <w:ind w:firstLine="640" w:firstLineChars="200"/>
        <w:rPr>
          <w:rFonts w:eastAsia="方正仿宋_GBK"/>
          <w:sz w:val="32"/>
          <w:szCs w:val="32"/>
        </w:rPr>
      </w:pPr>
      <w:r>
        <w:rPr>
          <w:rFonts w:hint="eastAsia" w:eastAsia="方正楷体_GBK"/>
          <w:sz w:val="32"/>
          <w:szCs w:val="32"/>
        </w:rPr>
        <w:t>（三）加强行政执法监督管理。</w:t>
      </w:r>
      <w:r>
        <w:rPr>
          <w:rFonts w:hint="eastAsia" w:eastAsia="方正仿宋_GBK"/>
          <w:sz w:val="32"/>
          <w:szCs w:val="32"/>
        </w:rPr>
        <w:t>出台</w:t>
      </w:r>
      <w:r>
        <w:rPr>
          <w:rFonts w:eastAsia="方正仿宋_GBK"/>
          <w:sz w:val="32"/>
          <w:szCs w:val="32"/>
        </w:rPr>
        <w:t>《2024年度浦口区行政执法协调监督工作要点》</w:t>
      </w:r>
      <w:r>
        <w:rPr>
          <w:rFonts w:hint="eastAsia" w:eastAsia="方正仿宋_GBK"/>
          <w:sz w:val="32"/>
          <w:szCs w:val="32"/>
        </w:rPr>
        <w:t>，</w:t>
      </w:r>
      <w:r>
        <w:rPr>
          <w:rFonts w:eastAsia="方正仿宋_GBK"/>
          <w:sz w:val="32"/>
          <w:szCs w:val="32"/>
        </w:rPr>
        <w:t>对</w:t>
      </w:r>
      <w:r>
        <w:rPr>
          <w:rFonts w:hint="eastAsia" w:eastAsia="方正仿宋_GBK"/>
          <w:sz w:val="32"/>
          <w:szCs w:val="32"/>
        </w:rPr>
        <w:t>4</w:t>
      </w:r>
      <w:r>
        <w:rPr>
          <w:rFonts w:eastAsia="方正仿宋_GBK"/>
          <w:sz w:val="32"/>
          <w:szCs w:val="32"/>
        </w:rPr>
        <w:t>大项1</w:t>
      </w:r>
      <w:r>
        <w:rPr>
          <w:rFonts w:hint="eastAsia" w:eastAsia="方正仿宋_GBK"/>
          <w:sz w:val="32"/>
          <w:szCs w:val="32"/>
        </w:rPr>
        <w:t>4</w:t>
      </w:r>
      <w:r>
        <w:rPr>
          <w:rFonts w:eastAsia="方正仿宋_GBK"/>
          <w:sz w:val="32"/>
          <w:szCs w:val="32"/>
        </w:rPr>
        <w:t>小项执法监督计划梳理明确</w:t>
      </w:r>
      <w:r>
        <w:rPr>
          <w:rFonts w:hint="eastAsia" w:eastAsia="方正仿宋_GBK"/>
          <w:sz w:val="32"/>
          <w:szCs w:val="32"/>
        </w:rPr>
        <w:t>。组建行政执法突出问题专项检查工作小组，对14个重点行政执法部门和5个街道开展实地监督检查。邀请市特邀行政执法监督员参加安全生产、食品安全领域行政执法监督活动2次，受理行政执法监督申请3次，组织开展2024年度行政执法案卷评查，制发评查通报，评选优秀案卷15卷。组织召开涉企行政执法监督工作会议暨企业联系点授牌仪式，设立15个行政执法监督企业联系点。</w:t>
      </w:r>
    </w:p>
    <w:p w14:paraId="79BE6E35">
      <w:pPr>
        <w:overflowPunct w:val="0"/>
        <w:snapToGrid w:val="0"/>
        <w:spacing w:line="550" w:lineRule="exact"/>
        <w:ind w:firstLine="640" w:firstLineChars="200"/>
        <w:rPr>
          <w:rFonts w:eastAsia="方正黑体_GBK"/>
          <w:sz w:val="32"/>
          <w:szCs w:val="32"/>
        </w:rPr>
      </w:pPr>
      <w:r>
        <w:rPr>
          <w:rFonts w:hint="eastAsia" w:eastAsia="方正黑体_GBK"/>
          <w:sz w:val="32"/>
          <w:szCs w:val="32"/>
        </w:rPr>
        <w:t>五</w:t>
      </w:r>
      <w:r>
        <w:rPr>
          <w:rFonts w:hint="eastAsia" w:eastAsia="方正仿宋_GBK"/>
          <w:sz w:val="32"/>
          <w:szCs w:val="32"/>
        </w:rPr>
        <w:t>、</w:t>
      </w:r>
      <w:r>
        <w:rPr>
          <w:rFonts w:hint="eastAsia" w:eastAsia="方正黑体_GBK"/>
          <w:sz w:val="32"/>
          <w:szCs w:val="32"/>
        </w:rPr>
        <w:t>强化权力运行制约监督</w:t>
      </w:r>
      <w:r>
        <w:rPr>
          <w:rFonts w:eastAsia="方正仿宋_GBK"/>
          <w:sz w:val="32"/>
          <w:szCs w:val="32"/>
        </w:rPr>
        <w:t>，</w:t>
      </w:r>
      <w:r>
        <w:rPr>
          <w:rFonts w:hint="eastAsia" w:eastAsia="方正黑体_GBK"/>
          <w:sz w:val="32"/>
          <w:szCs w:val="32"/>
        </w:rPr>
        <w:t>提升</w:t>
      </w:r>
      <w:r>
        <w:rPr>
          <w:rFonts w:hint="eastAsia" w:eastAsia="方正黑体_GBK"/>
          <w:sz w:val="32"/>
          <w:szCs w:val="32"/>
          <w:lang w:val="zh-CN"/>
        </w:rPr>
        <w:t>政府</w:t>
      </w:r>
      <w:r>
        <w:rPr>
          <w:rFonts w:hint="eastAsia" w:eastAsia="方正黑体_GBK"/>
          <w:sz w:val="32"/>
          <w:szCs w:val="32"/>
        </w:rPr>
        <w:t>依法治理能力</w:t>
      </w:r>
    </w:p>
    <w:p w14:paraId="14D671E9">
      <w:pPr>
        <w:overflowPunct w:val="0"/>
        <w:snapToGrid w:val="0"/>
        <w:spacing w:line="550" w:lineRule="exact"/>
        <w:ind w:firstLine="640" w:firstLineChars="200"/>
        <w:rPr>
          <w:rFonts w:eastAsia="方正仿宋_GBK"/>
          <w:sz w:val="32"/>
          <w:szCs w:val="32"/>
        </w:rPr>
      </w:pPr>
      <w:r>
        <w:rPr>
          <w:rFonts w:eastAsia="方正楷体_GBK"/>
          <w:sz w:val="32"/>
          <w:szCs w:val="32"/>
        </w:rPr>
        <w:t>（一）</w:t>
      </w:r>
      <w:r>
        <w:rPr>
          <w:rFonts w:hint="eastAsia" w:eastAsia="方正楷体_GBK"/>
          <w:sz w:val="32"/>
          <w:szCs w:val="32"/>
        </w:rPr>
        <w:t>规范</w:t>
      </w:r>
      <w:r>
        <w:rPr>
          <w:rFonts w:eastAsia="方正楷体_GBK"/>
          <w:sz w:val="32"/>
          <w:szCs w:val="32"/>
        </w:rPr>
        <w:t>重大行政决策。</w:t>
      </w:r>
      <w:r>
        <w:rPr>
          <w:rFonts w:eastAsia="方正仿宋_GBK"/>
          <w:sz w:val="32"/>
          <w:szCs w:val="32"/>
        </w:rPr>
        <w:t>完善重大行政决策程序制度，健全政府法律顾问和公职律师参与重大行政决策机制，遵循科学、民主、依法决策的原则，依法履行重大行政决策法定程序。重新公布浦口区征地区片综合地价执行标准</w:t>
      </w:r>
      <w:r>
        <w:rPr>
          <w:rFonts w:hint="eastAsia" w:eastAsia="方正仿宋_GBK"/>
          <w:sz w:val="32"/>
          <w:szCs w:val="32"/>
        </w:rPr>
        <w:t>等2件</w:t>
      </w:r>
      <w:r>
        <w:rPr>
          <w:rFonts w:eastAsia="方正仿宋_GBK"/>
          <w:sz w:val="32"/>
          <w:szCs w:val="32"/>
        </w:rPr>
        <w:t>重大行政决策依法履行了公众参与、专家论证、风险评估、合法性审查、集体讨论决定五大法定程序。202</w:t>
      </w:r>
      <w:r>
        <w:rPr>
          <w:rFonts w:hint="eastAsia" w:eastAsia="方正仿宋_GBK"/>
          <w:sz w:val="32"/>
          <w:szCs w:val="32"/>
        </w:rPr>
        <w:t>4</w:t>
      </w:r>
      <w:r>
        <w:rPr>
          <w:rFonts w:eastAsia="方正仿宋_GBK"/>
          <w:sz w:val="32"/>
          <w:szCs w:val="32"/>
        </w:rPr>
        <w:t>年，区政府法制机构办理涉法事务</w:t>
      </w:r>
      <w:r>
        <w:rPr>
          <w:rFonts w:hint="eastAsia" w:eastAsia="方正仿宋_GBK"/>
          <w:sz w:val="32"/>
          <w:szCs w:val="32"/>
        </w:rPr>
        <w:t>86</w:t>
      </w:r>
      <w:r>
        <w:rPr>
          <w:rFonts w:eastAsia="方正仿宋_GBK"/>
          <w:sz w:val="32"/>
          <w:szCs w:val="32"/>
        </w:rPr>
        <w:t>件</w:t>
      </w:r>
      <w:r>
        <w:rPr>
          <w:rFonts w:hint="eastAsia" w:eastAsia="方正仿宋_GBK"/>
          <w:sz w:val="32"/>
          <w:szCs w:val="32"/>
        </w:rPr>
        <w:t>，</w:t>
      </w:r>
      <w:r>
        <w:rPr>
          <w:rFonts w:eastAsia="方正仿宋_GBK"/>
          <w:sz w:val="32"/>
          <w:szCs w:val="32"/>
        </w:rPr>
        <w:t>审查投资协议、合作办学协议等各类政府合同</w:t>
      </w:r>
      <w:r>
        <w:rPr>
          <w:rFonts w:hint="eastAsia" w:eastAsia="方正仿宋_GBK"/>
          <w:sz w:val="32"/>
          <w:szCs w:val="32"/>
        </w:rPr>
        <w:t>32</w:t>
      </w:r>
      <w:r>
        <w:rPr>
          <w:rFonts w:eastAsia="方正仿宋_GBK"/>
          <w:sz w:val="32"/>
          <w:szCs w:val="32"/>
        </w:rPr>
        <w:t>件，</w:t>
      </w:r>
      <w:r>
        <w:rPr>
          <w:rFonts w:hint="eastAsia" w:eastAsia="方正仿宋_GBK"/>
          <w:sz w:val="32"/>
          <w:szCs w:val="32"/>
        </w:rPr>
        <w:t>审查</w:t>
      </w:r>
      <w:r>
        <w:rPr>
          <w:rFonts w:eastAsia="方正仿宋_GBK"/>
          <w:sz w:val="32"/>
          <w:szCs w:val="32"/>
        </w:rPr>
        <w:t>建设用地征地报批</w:t>
      </w:r>
      <w:r>
        <w:rPr>
          <w:rFonts w:hint="eastAsia" w:eastAsia="方正仿宋_GBK"/>
          <w:sz w:val="32"/>
          <w:szCs w:val="32"/>
        </w:rPr>
        <w:t>9</w:t>
      </w:r>
      <w:r>
        <w:rPr>
          <w:rFonts w:eastAsia="方正仿宋_GBK"/>
          <w:sz w:val="32"/>
          <w:szCs w:val="32"/>
        </w:rPr>
        <w:t>批次。</w:t>
      </w:r>
    </w:p>
    <w:p w14:paraId="395270EE">
      <w:pPr>
        <w:overflowPunct w:val="0"/>
        <w:snapToGrid w:val="0"/>
        <w:spacing w:line="550" w:lineRule="exact"/>
        <w:ind w:firstLine="640" w:firstLineChars="200"/>
        <w:rPr>
          <w:rFonts w:eastAsia="方正仿宋_GBK"/>
          <w:sz w:val="32"/>
          <w:szCs w:val="32"/>
        </w:rPr>
      </w:pPr>
      <w:r>
        <w:rPr>
          <w:rFonts w:hint="eastAsia" w:eastAsia="方正楷体_GBK"/>
          <w:sz w:val="32"/>
          <w:szCs w:val="32"/>
        </w:rPr>
        <w:t>（二）</w:t>
      </w:r>
      <w:r>
        <w:rPr>
          <w:rFonts w:eastAsia="方正楷体_GBK"/>
          <w:sz w:val="32"/>
          <w:szCs w:val="32"/>
        </w:rPr>
        <w:t>全面提升政务公开效能。</w:t>
      </w:r>
      <w:r>
        <w:rPr>
          <w:rFonts w:hint="eastAsia" w:eastAsia="方正仿宋_GBK"/>
          <w:sz w:val="32"/>
          <w:szCs w:val="32"/>
        </w:rPr>
        <w:t>聚焦群众关注热点，深化高质量政务公开，及时做好重大政策、权威信息的发布工作。对涉及全区的重大民生问题、社会高度关注的政策文件，采取多样化方式同步出台政策文件内容解读。</w:t>
      </w:r>
      <w:r>
        <w:rPr>
          <w:rFonts w:eastAsia="方正仿宋_GBK"/>
          <w:sz w:val="32"/>
          <w:szCs w:val="32"/>
        </w:rPr>
        <w:t>加大养老服务、食品安全、乡村振兴、义务教育、医疗卫生、财政预决算等重点领域信息公开力度。2024年，主动公开政务信息</w:t>
      </w:r>
      <w:r>
        <w:rPr>
          <w:rFonts w:hint="eastAsia" w:eastAsia="方正仿宋_GBK"/>
          <w:sz w:val="32"/>
          <w:szCs w:val="32"/>
        </w:rPr>
        <w:t>2100余</w:t>
      </w:r>
      <w:r>
        <w:rPr>
          <w:rFonts w:eastAsia="方正仿宋_GBK"/>
          <w:sz w:val="32"/>
          <w:szCs w:val="32"/>
        </w:rPr>
        <w:t>条，依申请公开518件，均依法依规</w:t>
      </w:r>
      <w:r>
        <w:rPr>
          <w:rFonts w:hint="eastAsia" w:eastAsia="方正仿宋_GBK"/>
          <w:sz w:val="32"/>
          <w:szCs w:val="32"/>
        </w:rPr>
        <w:t>予以办理</w:t>
      </w:r>
      <w:r>
        <w:rPr>
          <w:rFonts w:eastAsia="方正仿宋_GBK"/>
          <w:sz w:val="32"/>
          <w:szCs w:val="32"/>
        </w:rPr>
        <w:t>。区政府门户网站开展在线访谈</w:t>
      </w:r>
      <w:r>
        <w:rPr>
          <w:rFonts w:hint="eastAsia" w:eastAsia="方正仿宋_GBK"/>
          <w:sz w:val="32"/>
          <w:szCs w:val="32"/>
        </w:rPr>
        <w:t>7</w:t>
      </w:r>
      <w:r>
        <w:rPr>
          <w:rFonts w:eastAsia="方正仿宋_GBK"/>
          <w:sz w:val="32"/>
          <w:szCs w:val="32"/>
        </w:rPr>
        <w:t>期</w:t>
      </w:r>
      <w:r>
        <w:rPr>
          <w:rFonts w:hint="eastAsia" w:eastAsia="方正仿宋_GBK"/>
          <w:sz w:val="32"/>
          <w:szCs w:val="32"/>
        </w:rPr>
        <w:t>、</w:t>
      </w:r>
      <w:r>
        <w:rPr>
          <w:rFonts w:eastAsia="方正仿宋_GBK"/>
          <w:sz w:val="32"/>
          <w:szCs w:val="32"/>
        </w:rPr>
        <w:t>新闻发布会</w:t>
      </w:r>
      <w:r>
        <w:rPr>
          <w:rFonts w:hint="eastAsia" w:eastAsia="方正仿宋_GBK"/>
          <w:sz w:val="32"/>
          <w:szCs w:val="32"/>
        </w:rPr>
        <w:t>4</w:t>
      </w:r>
      <w:r>
        <w:rPr>
          <w:rFonts w:eastAsia="方正仿宋_GBK"/>
          <w:sz w:val="32"/>
          <w:szCs w:val="32"/>
        </w:rPr>
        <w:t>场。</w:t>
      </w:r>
    </w:p>
    <w:p w14:paraId="1A66EFB7">
      <w:pPr>
        <w:overflowPunct w:val="0"/>
        <w:snapToGrid w:val="0"/>
        <w:spacing w:line="550" w:lineRule="exact"/>
        <w:ind w:firstLine="640" w:firstLineChars="200"/>
        <w:rPr>
          <w:rFonts w:eastAsia="方正仿宋_GBK"/>
          <w:sz w:val="32"/>
          <w:szCs w:val="32"/>
        </w:rPr>
      </w:pPr>
      <w:r>
        <w:rPr>
          <w:rFonts w:eastAsia="方正楷体_GBK"/>
          <w:sz w:val="32"/>
          <w:szCs w:val="32"/>
        </w:rPr>
        <w:t>（</w:t>
      </w:r>
      <w:r>
        <w:rPr>
          <w:rFonts w:hint="eastAsia" w:eastAsia="方正楷体_GBK"/>
          <w:sz w:val="32"/>
          <w:szCs w:val="32"/>
        </w:rPr>
        <w:t>三</w:t>
      </w:r>
      <w:r>
        <w:rPr>
          <w:rFonts w:eastAsia="方正楷体_GBK"/>
          <w:sz w:val="32"/>
          <w:szCs w:val="32"/>
        </w:rPr>
        <w:t>）</w:t>
      </w:r>
      <w:r>
        <w:rPr>
          <w:rFonts w:hint="eastAsia" w:eastAsia="方正楷体_GBK"/>
          <w:sz w:val="32"/>
          <w:szCs w:val="32"/>
        </w:rPr>
        <w:t>汇聚各类监督</w:t>
      </w:r>
      <w:r>
        <w:rPr>
          <w:rFonts w:eastAsia="方正楷体_GBK"/>
          <w:sz w:val="32"/>
          <w:szCs w:val="32"/>
        </w:rPr>
        <w:t>合力</w:t>
      </w:r>
      <w:r>
        <w:rPr>
          <w:rFonts w:hint="eastAsia" w:eastAsia="方正楷体_GBK"/>
          <w:sz w:val="32"/>
          <w:szCs w:val="32"/>
        </w:rPr>
        <w:t>。</w:t>
      </w:r>
      <w:r>
        <w:rPr>
          <w:rFonts w:eastAsia="方正仿宋_GBK"/>
          <w:sz w:val="32"/>
          <w:szCs w:val="32"/>
        </w:rPr>
        <w:t>接受人大、政协监督，认真执行区人大及其常委会的决议，切实履行重大事项向人大报告、向政协通报制度</w:t>
      </w:r>
      <w:r>
        <w:rPr>
          <w:rFonts w:hint="eastAsia" w:eastAsia="方正仿宋_GBK"/>
          <w:sz w:val="32"/>
          <w:szCs w:val="32"/>
        </w:rPr>
        <w:t>。</w:t>
      </w:r>
      <w:r>
        <w:rPr>
          <w:rFonts w:eastAsia="方正仿宋_GBK"/>
          <w:sz w:val="32"/>
          <w:szCs w:val="32"/>
        </w:rPr>
        <w:t>202</w:t>
      </w:r>
      <w:r>
        <w:rPr>
          <w:rFonts w:hint="eastAsia" w:eastAsia="方正仿宋_GBK"/>
          <w:sz w:val="32"/>
          <w:szCs w:val="32"/>
        </w:rPr>
        <w:t>4</w:t>
      </w:r>
      <w:r>
        <w:rPr>
          <w:rFonts w:eastAsia="方正仿宋_GBK"/>
          <w:sz w:val="32"/>
          <w:szCs w:val="32"/>
        </w:rPr>
        <w:t>年，办复人大代表建议</w:t>
      </w:r>
      <w:r>
        <w:rPr>
          <w:rFonts w:hint="eastAsia" w:eastAsia="方正仿宋_GBK"/>
          <w:sz w:val="32"/>
          <w:szCs w:val="32"/>
        </w:rPr>
        <w:t>136</w:t>
      </w:r>
      <w:r>
        <w:rPr>
          <w:rFonts w:eastAsia="方正仿宋_GBK"/>
          <w:sz w:val="32"/>
          <w:szCs w:val="32"/>
        </w:rPr>
        <w:t>件、政协委员提案</w:t>
      </w:r>
      <w:r>
        <w:rPr>
          <w:rFonts w:hint="eastAsia" w:eastAsia="方正仿宋_GBK"/>
          <w:sz w:val="32"/>
          <w:szCs w:val="32"/>
        </w:rPr>
        <w:t>155</w:t>
      </w:r>
      <w:r>
        <w:rPr>
          <w:rFonts w:eastAsia="方正仿宋_GBK"/>
          <w:sz w:val="32"/>
          <w:szCs w:val="32"/>
        </w:rPr>
        <w:t>件，办结率、满意率达100%。接受人民群众监督，提高12345政务热线办理质效，深化</w:t>
      </w:r>
      <w:r>
        <w:rPr>
          <w:rFonts w:hint="eastAsia" w:eastAsia="方正仿宋_GBK"/>
          <w:sz w:val="32"/>
          <w:szCs w:val="32"/>
        </w:rPr>
        <w:t>“</w:t>
      </w:r>
      <w:r>
        <w:rPr>
          <w:rFonts w:eastAsia="方正仿宋_GBK"/>
          <w:sz w:val="32"/>
          <w:szCs w:val="32"/>
        </w:rPr>
        <w:t>先解决问题再说</w:t>
      </w:r>
      <w:r>
        <w:rPr>
          <w:rFonts w:hint="eastAsia" w:eastAsia="方正仿宋_GBK"/>
          <w:sz w:val="32"/>
          <w:szCs w:val="32"/>
        </w:rPr>
        <w:t>”</w:t>
      </w:r>
      <w:r>
        <w:rPr>
          <w:rFonts w:eastAsia="方正仿宋_GBK"/>
          <w:sz w:val="32"/>
          <w:szCs w:val="32"/>
        </w:rPr>
        <w:t>机制，持续打造全省首创</w:t>
      </w:r>
      <w:r>
        <w:rPr>
          <w:rFonts w:hint="eastAsia" w:eastAsia="方正仿宋_GBK"/>
          <w:sz w:val="32"/>
          <w:szCs w:val="32"/>
        </w:rPr>
        <w:t>“</w:t>
      </w:r>
      <w:r>
        <w:rPr>
          <w:rFonts w:eastAsia="方正仿宋_GBK"/>
          <w:sz w:val="32"/>
          <w:szCs w:val="32"/>
        </w:rPr>
        <w:t>只投诉一次</w:t>
      </w:r>
      <w:r>
        <w:rPr>
          <w:rFonts w:hint="eastAsia" w:eastAsia="方正仿宋_GBK"/>
          <w:sz w:val="32"/>
          <w:szCs w:val="32"/>
        </w:rPr>
        <w:t>”</w:t>
      </w:r>
      <w:r>
        <w:rPr>
          <w:rFonts w:eastAsia="方正仿宋_GBK"/>
          <w:sz w:val="32"/>
          <w:szCs w:val="32"/>
        </w:rPr>
        <w:t>服务品牌。2024年，受理办结12345政务热线诉求工单98783件，首次满意率、诉求解决率持续双提升，同比增长2.85%、2.23%。</w:t>
      </w:r>
    </w:p>
    <w:p w14:paraId="04B0C4ED">
      <w:pPr>
        <w:overflowPunct w:val="0"/>
        <w:snapToGrid w:val="0"/>
        <w:spacing w:line="550" w:lineRule="exact"/>
        <w:ind w:firstLine="640" w:firstLineChars="200"/>
        <w:rPr>
          <w:rFonts w:eastAsia="方正黑体_GBK"/>
          <w:sz w:val="32"/>
          <w:szCs w:val="32"/>
        </w:rPr>
      </w:pPr>
      <w:r>
        <w:rPr>
          <w:rFonts w:hint="eastAsia" w:eastAsia="方正黑体_GBK"/>
          <w:sz w:val="32"/>
          <w:szCs w:val="32"/>
        </w:rPr>
        <w:t>六</w:t>
      </w:r>
      <w:r>
        <w:rPr>
          <w:rFonts w:hint="eastAsia" w:eastAsia="方正仿宋_GBK"/>
          <w:sz w:val="32"/>
          <w:szCs w:val="32"/>
        </w:rPr>
        <w:t>、</w:t>
      </w:r>
      <w:r>
        <w:rPr>
          <w:rFonts w:hint="eastAsia" w:eastAsia="方正黑体_GBK"/>
          <w:sz w:val="32"/>
          <w:szCs w:val="32"/>
        </w:rPr>
        <w:t>依法有效化解矛盾争议</w:t>
      </w:r>
      <w:r>
        <w:rPr>
          <w:rFonts w:hint="eastAsia" w:eastAsia="方正仿宋_GBK"/>
          <w:sz w:val="32"/>
          <w:szCs w:val="32"/>
        </w:rPr>
        <w:t>，</w:t>
      </w:r>
      <w:r>
        <w:rPr>
          <w:rFonts w:hint="eastAsia" w:eastAsia="方正黑体_GBK"/>
          <w:sz w:val="32"/>
          <w:szCs w:val="32"/>
        </w:rPr>
        <w:t>更好保障社会公平正义</w:t>
      </w:r>
    </w:p>
    <w:p w14:paraId="5B0EDEFA">
      <w:pPr>
        <w:overflowPunct w:val="0"/>
        <w:snapToGrid w:val="0"/>
        <w:spacing w:line="550" w:lineRule="exact"/>
        <w:ind w:firstLine="640" w:firstLineChars="200"/>
        <w:rPr>
          <w:rFonts w:eastAsia="方正仿宋_GBK"/>
          <w:sz w:val="32"/>
          <w:szCs w:val="32"/>
        </w:rPr>
      </w:pPr>
      <w:r>
        <w:rPr>
          <w:rFonts w:eastAsia="方正楷体_GBK"/>
          <w:sz w:val="32"/>
          <w:szCs w:val="32"/>
        </w:rPr>
        <w:t>（</w:t>
      </w:r>
      <w:r>
        <w:rPr>
          <w:rFonts w:hint="eastAsia" w:eastAsia="方正楷体_GBK"/>
          <w:sz w:val="32"/>
          <w:szCs w:val="32"/>
        </w:rPr>
        <w:t>一</w:t>
      </w:r>
      <w:r>
        <w:rPr>
          <w:rFonts w:eastAsia="方正楷体_GBK"/>
          <w:sz w:val="32"/>
          <w:szCs w:val="32"/>
        </w:rPr>
        <w:t>）坚持和发展新时代</w:t>
      </w:r>
      <w:r>
        <w:rPr>
          <w:rFonts w:hint="eastAsia" w:eastAsia="方正楷体_GBK"/>
          <w:sz w:val="32"/>
          <w:szCs w:val="32"/>
        </w:rPr>
        <w:t>“</w:t>
      </w:r>
      <w:r>
        <w:rPr>
          <w:rFonts w:eastAsia="方正楷体_GBK"/>
          <w:sz w:val="32"/>
          <w:szCs w:val="32"/>
        </w:rPr>
        <w:t>枫桥经验</w:t>
      </w:r>
      <w:r>
        <w:rPr>
          <w:rFonts w:hint="eastAsia" w:eastAsia="方正楷体_GBK"/>
          <w:sz w:val="32"/>
          <w:szCs w:val="32"/>
        </w:rPr>
        <w:t>”</w:t>
      </w:r>
      <w:r>
        <w:rPr>
          <w:rFonts w:eastAsia="方正楷体_GBK"/>
          <w:sz w:val="32"/>
          <w:szCs w:val="32"/>
        </w:rPr>
        <w:t>。</w:t>
      </w:r>
      <w:r>
        <w:rPr>
          <w:rFonts w:hint="eastAsia" w:eastAsia="方正仿宋_GBK"/>
          <w:sz w:val="32"/>
          <w:szCs w:val="32"/>
        </w:rPr>
        <w:t>升级改造区“一站式”矛盾纠纷调处化解中心，指导街道“一站式”矛盾纠纷调处化解中心建设，推动人民调解、信访、综治等职能“一站式”对接，促进矛盾纠纷“一站式”解决。继续擦亮“和解浦畅”品牌，引入新区法院巡回审判点，巩固延伸“商贸浦畅”“惠企浦畅”等专业平台，积极打造“银泉杏畅”等基层阵地，强化多元纠纷排查调处机制。</w:t>
      </w:r>
      <w:r>
        <w:rPr>
          <w:rFonts w:eastAsia="方正仿宋_GBK"/>
          <w:sz w:val="32"/>
          <w:szCs w:val="32"/>
        </w:rPr>
        <w:t>202</w:t>
      </w:r>
      <w:r>
        <w:rPr>
          <w:rFonts w:hint="eastAsia" w:eastAsia="方正仿宋_GBK"/>
          <w:sz w:val="32"/>
          <w:szCs w:val="32"/>
        </w:rPr>
        <w:t>4</w:t>
      </w:r>
      <w:r>
        <w:rPr>
          <w:rFonts w:eastAsia="方正仿宋_GBK"/>
          <w:sz w:val="32"/>
          <w:szCs w:val="32"/>
        </w:rPr>
        <w:t>年，各级各类人民调解委员会共受理矛盾纠纷</w:t>
      </w:r>
      <w:r>
        <w:rPr>
          <w:rFonts w:hint="eastAsia" w:eastAsia="方正仿宋_GBK"/>
          <w:sz w:val="32"/>
          <w:szCs w:val="32"/>
        </w:rPr>
        <w:t>6259</w:t>
      </w:r>
      <w:r>
        <w:rPr>
          <w:rFonts w:eastAsia="方正仿宋_GBK"/>
          <w:sz w:val="32"/>
          <w:szCs w:val="32"/>
        </w:rPr>
        <w:t>件，调解成功</w:t>
      </w:r>
      <w:r>
        <w:rPr>
          <w:rFonts w:hint="eastAsia" w:eastAsia="方正仿宋_GBK"/>
          <w:sz w:val="32"/>
          <w:szCs w:val="32"/>
        </w:rPr>
        <w:t>6253</w:t>
      </w:r>
      <w:r>
        <w:rPr>
          <w:rFonts w:eastAsia="方正仿宋_GBK"/>
          <w:sz w:val="32"/>
          <w:szCs w:val="32"/>
        </w:rPr>
        <w:t>件，调解成功率达</w:t>
      </w:r>
      <w:r>
        <w:rPr>
          <w:rFonts w:hint="eastAsia" w:eastAsia="方正仿宋_GBK"/>
          <w:sz w:val="32"/>
          <w:szCs w:val="32"/>
        </w:rPr>
        <w:t>99.9</w:t>
      </w:r>
      <w:r>
        <w:rPr>
          <w:rFonts w:eastAsia="方正仿宋_GBK"/>
          <w:sz w:val="32"/>
          <w:szCs w:val="32"/>
        </w:rPr>
        <w:t>%。</w:t>
      </w:r>
    </w:p>
    <w:p w14:paraId="52EF07E8">
      <w:pPr>
        <w:pStyle w:val="10"/>
        <w:wordWrap/>
        <w:overflowPunct w:val="0"/>
        <w:spacing w:line="550" w:lineRule="exact"/>
      </w:pPr>
      <w:r>
        <w:rPr>
          <w:rFonts w:hint="eastAsia" w:eastAsia="方正楷体_GBK"/>
        </w:rPr>
        <w:t>（二）</w:t>
      </w:r>
      <w:r>
        <w:rPr>
          <w:rFonts w:eastAsia="方正楷体_GBK"/>
        </w:rPr>
        <w:t>全面深化行政复议体制改革。</w:t>
      </w:r>
      <w:r>
        <w:t>出台《浦口区司法局行政争议调解工作实施办法》，区司法局与南京市司法局、南京江北新区人民法院共同为</w:t>
      </w:r>
      <w:r>
        <w:rPr>
          <w:rFonts w:hint="eastAsia"/>
        </w:rPr>
        <w:t>浦口区</w:t>
      </w:r>
      <w:r>
        <w:t>行政争议协同化解工作站揭牌。在区交警大队、区市场监管局、桥林街道设立行政争议调处工作站。2024年，</w:t>
      </w:r>
      <w:r>
        <w:rPr>
          <w:rFonts w:hint="eastAsia"/>
        </w:rPr>
        <w:t>收到</w:t>
      </w:r>
      <w:r>
        <w:t>行政复议</w:t>
      </w:r>
      <w:r>
        <w:rPr>
          <w:rFonts w:hint="eastAsia"/>
        </w:rPr>
        <w:t>申请</w:t>
      </w:r>
      <w:r>
        <w:t>231件，</w:t>
      </w:r>
      <w:r>
        <w:rPr>
          <w:rFonts w:hint="eastAsia"/>
        </w:rPr>
        <w:t>受理220件，其中</w:t>
      </w:r>
      <w:r>
        <w:t>审结</w:t>
      </w:r>
      <w:r>
        <w:rPr>
          <w:rFonts w:hint="eastAsia"/>
        </w:rPr>
        <w:t>198</w:t>
      </w:r>
      <w:r>
        <w:t>件、正在审理</w:t>
      </w:r>
      <w:r>
        <w:rPr>
          <w:rFonts w:hint="eastAsia"/>
        </w:rPr>
        <w:t>22</w:t>
      </w:r>
      <w:r>
        <w:t>件；审结案件中直接纠错22件、实质性化解1</w:t>
      </w:r>
      <w:r>
        <w:rPr>
          <w:rFonts w:hint="eastAsia"/>
        </w:rPr>
        <w:t>12</w:t>
      </w:r>
      <w:r>
        <w:t>件。积极推进公开听证、阳光听证，召开公开听证会90次。针对办案过程中发现的违法共性问题，制发行政复议意见书7</w:t>
      </w:r>
      <w:r>
        <w:rPr>
          <w:rFonts w:hint="eastAsia"/>
        </w:rPr>
        <w:t>件</w:t>
      </w:r>
      <w:r>
        <w:t>，责令有关行政机关针对性整改。</w:t>
      </w:r>
    </w:p>
    <w:p w14:paraId="534570A5">
      <w:pPr>
        <w:overflowPunct w:val="0"/>
        <w:snapToGrid w:val="0"/>
        <w:spacing w:line="550" w:lineRule="exact"/>
        <w:ind w:firstLine="640" w:firstLineChars="200"/>
        <w:rPr>
          <w:rFonts w:eastAsia="方正仿宋_GBK"/>
          <w:sz w:val="32"/>
          <w:szCs w:val="32"/>
        </w:rPr>
      </w:pPr>
      <w:r>
        <w:rPr>
          <w:rFonts w:hint="eastAsia" w:eastAsia="方正楷体_GBK"/>
          <w:sz w:val="32"/>
          <w:szCs w:val="32"/>
        </w:rPr>
        <w:t>（三）</w:t>
      </w:r>
      <w:r>
        <w:rPr>
          <w:rFonts w:eastAsia="方正楷体_GBK"/>
          <w:sz w:val="32"/>
          <w:szCs w:val="32"/>
        </w:rPr>
        <w:t>加强和规范行政应诉工作。</w:t>
      </w:r>
      <w:r>
        <w:rPr>
          <w:rFonts w:eastAsia="方正仿宋_GBK"/>
          <w:sz w:val="32"/>
          <w:szCs w:val="32"/>
        </w:rPr>
        <w:t>严格执行区政府主要领导签批出庭应诉工作制度，做到</w:t>
      </w:r>
      <w:r>
        <w:rPr>
          <w:rFonts w:hint="eastAsia" w:eastAsia="方正仿宋_GBK"/>
          <w:sz w:val="32"/>
          <w:szCs w:val="32"/>
        </w:rPr>
        <w:t>“</w:t>
      </w:r>
      <w:r>
        <w:rPr>
          <w:rFonts w:eastAsia="方正仿宋_GBK"/>
          <w:sz w:val="32"/>
          <w:szCs w:val="32"/>
        </w:rPr>
        <w:t>出庭又出声、出庭又出效</w:t>
      </w:r>
      <w:r>
        <w:rPr>
          <w:rFonts w:hint="eastAsia" w:eastAsia="方正仿宋_GBK"/>
          <w:sz w:val="32"/>
          <w:szCs w:val="32"/>
        </w:rPr>
        <w:t>”</w:t>
      </w:r>
      <w:r>
        <w:rPr>
          <w:rFonts w:eastAsia="方正仿宋_GBK"/>
          <w:sz w:val="32"/>
          <w:szCs w:val="32"/>
        </w:rPr>
        <w:t>。2024年，共收到以区政府为被告的一审行政应诉案件</w:t>
      </w:r>
      <w:r>
        <w:rPr>
          <w:rFonts w:hint="eastAsia" w:eastAsia="方正仿宋_GBK"/>
          <w:sz w:val="32"/>
          <w:szCs w:val="32"/>
        </w:rPr>
        <w:t>24</w:t>
      </w:r>
      <w:r>
        <w:rPr>
          <w:rFonts w:eastAsia="方正仿宋_GBK"/>
          <w:sz w:val="32"/>
          <w:szCs w:val="32"/>
        </w:rPr>
        <w:t>件，区政府行政机关负责人出庭应诉率100%。形成《关于2023年浦口区行政应诉工作情况的报告》《关于近三年全区行政应诉情况的报告》，</w:t>
      </w:r>
      <w:r>
        <w:rPr>
          <w:rFonts w:hint="eastAsia" w:eastAsia="方正仿宋_GBK"/>
          <w:color w:val="000000"/>
          <w:sz w:val="32"/>
          <w:szCs w:val="32"/>
        </w:rPr>
        <w:t>及时指出行政应诉反映出的</w:t>
      </w:r>
      <w:r>
        <w:rPr>
          <w:rFonts w:eastAsia="方正仿宋_GBK"/>
          <w:color w:val="000000"/>
          <w:sz w:val="32"/>
          <w:szCs w:val="32"/>
        </w:rPr>
        <w:t>问题</w:t>
      </w:r>
      <w:r>
        <w:rPr>
          <w:rFonts w:hint="eastAsia" w:eastAsia="方正仿宋_GBK"/>
          <w:color w:val="000000"/>
          <w:sz w:val="32"/>
          <w:szCs w:val="32"/>
        </w:rPr>
        <w:t>，针对性</w:t>
      </w:r>
      <w:r>
        <w:rPr>
          <w:rFonts w:eastAsia="方正仿宋_GBK"/>
          <w:color w:val="000000"/>
          <w:sz w:val="32"/>
          <w:szCs w:val="32"/>
        </w:rPr>
        <w:t>提出</w:t>
      </w:r>
      <w:r>
        <w:rPr>
          <w:rFonts w:hint="eastAsia" w:eastAsia="方正仿宋_GBK"/>
          <w:color w:val="000000"/>
          <w:sz w:val="32"/>
          <w:szCs w:val="32"/>
        </w:rPr>
        <w:t>整改</w:t>
      </w:r>
      <w:r>
        <w:rPr>
          <w:rFonts w:eastAsia="方正仿宋_GBK"/>
          <w:color w:val="000000"/>
          <w:sz w:val="32"/>
          <w:szCs w:val="32"/>
        </w:rPr>
        <w:t>建议。</w:t>
      </w:r>
      <w:r>
        <w:rPr>
          <w:rFonts w:eastAsia="方正仿宋_GBK"/>
          <w:sz w:val="32"/>
          <w:szCs w:val="32"/>
        </w:rPr>
        <w:t>编制10万字《基层行政应诉败诉案件启示录》，力争实现</w:t>
      </w:r>
      <w:r>
        <w:rPr>
          <w:rFonts w:hint="eastAsia" w:eastAsia="方正仿宋_GBK"/>
          <w:sz w:val="32"/>
          <w:szCs w:val="32"/>
        </w:rPr>
        <w:t>“</w:t>
      </w:r>
      <w:r>
        <w:rPr>
          <w:rFonts w:eastAsia="方正仿宋_GBK"/>
          <w:sz w:val="32"/>
          <w:szCs w:val="32"/>
        </w:rPr>
        <w:t>败诉一案，治理一片</w:t>
      </w:r>
      <w:r>
        <w:rPr>
          <w:rFonts w:hint="eastAsia" w:eastAsia="方正仿宋_GBK"/>
          <w:sz w:val="32"/>
          <w:szCs w:val="32"/>
        </w:rPr>
        <w:t>”</w:t>
      </w:r>
      <w:r>
        <w:rPr>
          <w:rFonts w:eastAsia="方正仿宋_GBK"/>
          <w:sz w:val="32"/>
          <w:szCs w:val="32"/>
        </w:rPr>
        <w:t>。组织开展2024年度行政机关负责人观摩法庭庭审活动，提升依法行政能力。</w:t>
      </w:r>
    </w:p>
    <w:p w14:paraId="30A46617">
      <w:pPr>
        <w:overflowPunct w:val="0"/>
        <w:snapToGrid w:val="0"/>
        <w:spacing w:line="550" w:lineRule="exact"/>
        <w:ind w:firstLine="640" w:firstLineChars="200"/>
        <w:rPr>
          <w:rFonts w:eastAsia="方正仿宋_GBK"/>
          <w:sz w:val="32"/>
          <w:szCs w:val="32"/>
        </w:rPr>
      </w:pPr>
      <w:r>
        <w:rPr>
          <w:rFonts w:eastAsia="方正仿宋_GBK"/>
          <w:sz w:val="32"/>
          <w:szCs w:val="32"/>
        </w:rPr>
        <w:t>202</w:t>
      </w:r>
      <w:r>
        <w:rPr>
          <w:rFonts w:hint="eastAsia" w:eastAsia="方正仿宋_GBK"/>
          <w:sz w:val="32"/>
          <w:szCs w:val="32"/>
        </w:rPr>
        <w:t>4</w:t>
      </w:r>
      <w:r>
        <w:rPr>
          <w:rFonts w:eastAsia="方正仿宋_GBK"/>
          <w:sz w:val="32"/>
          <w:szCs w:val="32"/>
        </w:rPr>
        <w:t>年，浦口区在推进依法行政、建设法治政府工作中虽取得了一定</w:t>
      </w:r>
      <w:r>
        <w:rPr>
          <w:rFonts w:hint="eastAsia" w:eastAsia="方正仿宋_GBK"/>
          <w:sz w:val="32"/>
          <w:szCs w:val="32"/>
        </w:rPr>
        <w:t>成效</w:t>
      </w:r>
      <w:r>
        <w:rPr>
          <w:rFonts w:eastAsia="方正仿宋_GBK"/>
          <w:sz w:val="32"/>
          <w:szCs w:val="32"/>
        </w:rPr>
        <w:t>，但仍存在薄弱环节，与人民群众期盼尚有差距，主要表现在：</w:t>
      </w:r>
      <w:r>
        <w:rPr>
          <w:rFonts w:hint="eastAsia" w:eastAsia="方正仿宋_GBK"/>
          <w:sz w:val="32"/>
          <w:szCs w:val="32"/>
        </w:rPr>
        <w:t>法治政府建设情况与新形势和新要求仍有一定距离；</w:t>
      </w:r>
      <w:r>
        <w:rPr>
          <w:rFonts w:eastAsia="方正仿宋_GBK"/>
          <w:kern w:val="0"/>
          <w:sz w:val="32"/>
          <w:szCs w:val="32"/>
        </w:rPr>
        <w:t>法治政府建设科技保障体系有待进一步健全；行政执法规范化和精细化</w:t>
      </w:r>
      <w:r>
        <w:rPr>
          <w:rFonts w:hint="eastAsia" w:eastAsia="方正仿宋_GBK"/>
          <w:kern w:val="0"/>
          <w:sz w:val="32"/>
          <w:szCs w:val="32"/>
        </w:rPr>
        <w:t>水平</w:t>
      </w:r>
      <w:r>
        <w:rPr>
          <w:rFonts w:eastAsia="方正仿宋_GBK"/>
          <w:kern w:val="0"/>
          <w:sz w:val="32"/>
          <w:szCs w:val="32"/>
        </w:rPr>
        <w:t>有待进一步提升。</w:t>
      </w:r>
    </w:p>
    <w:p w14:paraId="42EE4666">
      <w:pPr>
        <w:overflowPunct w:val="0"/>
        <w:snapToGrid w:val="0"/>
        <w:spacing w:line="550" w:lineRule="exact"/>
        <w:ind w:firstLine="640" w:firstLineChars="200"/>
        <w:rPr>
          <w:rFonts w:eastAsia="方正仿宋_GBK"/>
        </w:rPr>
      </w:pPr>
      <w:r>
        <w:rPr>
          <w:rFonts w:eastAsia="方正仿宋_GBK"/>
          <w:sz w:val="32"/>
          <w:szCs w:val="32"/>
        </w:rPr>
        <w:t>202</w:t>
      </w:r>
      <w:r>
        <w:rPr>
          <w:rFonts w:hint="eastAsia" w:eastAsia="方正仿宋_GBK"/>
          <w:sz w:val="32"/>
          <w:szCs w:val="32"/>
        </w:rPr>
        <w:t>5</w:t>
      </w:r>
      <w:r>
        <w:rPr>
          <w:rFonts w:eastAsia="方正仿宋_GBK"/>
          <w:sz w:val="32"/>
          <w:szCs w:val="32"/>
        </w:rPr>
        <w:t>年，浦口区将坚持以习近平新时代中国特色社会主义思想为指导，全面贯彻落实党的二十大</w:t>
      </w:r>
      <w:r>
        <w:rPr>
          <w:rFonts w:hint="eastAsia" w:eastAsia="方正仿宋_GBK"/>
          <w:sz w:val="32"/>
          <w:szCs w:val="32"/>
        </w:rPr>
        <w:t>和</w:t>
      </w:r>
      <w:r>
        <w:rPr>
          <w:rFonts w:eastAsia="方正仿宋_GBK"/>
          <w:sz w:val="32"/>
          <w:szCs w:val="32"/>
        </w:rPr>
        <w:t>二十届二中</w:t>
      </w:r>
      <w:r>
        <w:rPr>
          <w:rFonts w:hint="eastAsia" w:eastAsia="方正仿宋_GBK"/>
          <w:sz w:val="32"/>
          <w:szCs w:val="32"/>
        </w:rPr>
        <w:t>、三中</w:t>
      </w:r>
      <w:r>
        <w:rPr>
          <w:rFonts w:eastAsia="方正仿宋_GBK"/>
          <w:sz w:val="32"/>
          <w:szCs w:val="32"/>
        </w:rPr>
        <w:t>全会精神，着力提高法治政府建设质效，为</w:t>
      </w:r>
      <w:r>
        <w:rPr>
          <w:rFonts w:hint="eastAsia" w:eastAsia="方正仿宋_GBK"/>
          <w:sz w:val="32"/>
          <w:szCs w:val="32"/>
        </w:rPr>
        <w:t>谱写</w:t>
      </w:r>
      <w:r>
        <w:rPr>
          <w:rFonts w:eastAsia="方正仿宋_GBK"/>
          <w:sz w:val="32"/>
          <w:szCs w:val="32"/>
        </w:rPr>
        <w:t>中国式现代化浦口新篇章提供坚实法治保障。</w:t>
      </w:r>
      <w:r>
        <w:rPr>
          <w:rFonts w:eastAsia="方正楷体_GBK"/>
          <w:sz w:val="32"/>
          <w:szCs w:val="32"/>
        </w:rPr>
        <w:t>一是全面深入践行习近平法治思想。</w:t>
      </w:r>
      <w:r>
        <w:rPr>
          <w:rFonts w:eastAsia="方正仿宋_GBK"/>
          <w:sz w:val="32"/>
          <w:szCs w:val="32"/>
        </w:rPr>
        <w:t>深入</w:t>
      </w:r>
      <w:r>
        <w:rPr>
          <w:rFonts w:hint="eastAsia" w:eastAsia="方正仿宋_GBK"/>
          <w:sz w:val="32"/>
          <w:szCs w:val="32"/>
        </w:rPr>
        <w:t>学习</w:t>
      </w:r>
      <w:r>
        <w:rPr>
          <w:rFonts w:eastAsia="方正仿宋_GBK"/>
          <w:sz w:val="32"/>
          <w:szCs w:val="32"/>
        </w:rPr>
        <w:t>贯彻习近平法治思想，全面落实党中央关于全面依法治国的部署要求，努力吃透精神实质、领会核心要义、掌握科学方案，转化为</w:t>
      </w:r>
      <w:r>
        <w:rPr>
          <w:rFonts w:hint="eastAsia" w:eastAsia="方正仿宋_GBK"/>
          <w:sz w:val="32"/>
          <w:szCs w:val="32"/>
        </w:rPr>
        <w:t>推进全面依法治区的生动实践。</w:t>
      </w:r>
      <w:r>
        <w:rPr>
          <w:rFonts w:hint="eastAsia" w:ascii="方正楷体_GBK" w:hAnsi="方正楷体_GBK" w:eastAsia="方正楷体_GBK" w:cs="方正楷体_GBK"/>
          <w:kern w:val="0"/>
          <w:sz w:val="32"/>
          <w:szCs w:val="32"/>
        </w:rPr>
        <w:t>二是持续打造最优法治化营商环境。</w:t>
      </w:r>
      <w:r>
        <w:rPr>
          <w:rFonts w:eastAsia="方正仿宋_GBK"/>
          <w:kern w:val="0"/>
          <w:sz w:val="32"/>
          <w:szCs w:val="32"/>
        </w:rPr>
        <w:t>全面提升政务服务水平，坚持传统服务与智能创新服务相结合，为人民群众和市场主体办事提供更多便利。加强数字政府建设，加快推进政务数据有序共享，促进政府高效履职。</w:t>
      </w:r>
      <w:r>
        <w:rPr>
          <w:rFonts w:hint="eastAsia" w:ascii="方正楷体_GBK" w:hAnsi="方正楷体_GBK" w:eastAsia="方正楷体_GBK" w:cs="方正楷体_GBK"/>
          <w:kern w:val="0"/>
          <w:sz w:val="32"/>
          <w:szCs w:val="32"/>
        </w:rPr>
        <w:t>三是</w:t>
      </w:r>
      <w:r>
        <w:rPr>
          <w:rFonts w:hint="eastAsia" w:ascii="方正楷体_GBK" w:hAnsi="方正楷体_GBK" w:eastAsia="方正楷体_GBK" w:cs="方正楷体_GBK"/>
          <w:bCs/>
          <w:kern w:val="0"/>
          <w:sz w:val="32"/>
          <w:szCs w:val="32"/>
        </w:rPr>
        <w:t>统筹推进依法行政。</w:t>
      </w:r>
      <w:r>
        <w:rPr>
          <w:rFonts w:eastAsia="方正仿宋_GBK"/>
          <w:color w:val="000000"/>
          <w:sz w:val="32"/>
          <w:szCs w:val="32"/>
        </w:rPr>
        <w:t>切实发挥好政府法律顾问</w:t>
      </w:r>
      <w:r>
        <w:rPr>
          <w:rFonts w:eastAsia="方正仿宋_GBK"/>
          <w:kern w:val="0"/>
          <w:sz w:val="32"/>
          <w:szCs w:val="32"/>
        </w:rPr>
        <w:t>与公职律师作用，确保重大行政决策科学、民主、合法，纵深推进全域综合行政执法体制改革，实现严格规范公正文明执法，稳步推进行政复议体制改革，推动行政争议实质性化解，持续营造</w:t>
      </w:r>
      <w:r>
        <w:rPr>
          <w:rFonts w:eastAsia="方正仿宋_GBK"/>
          <w:bCs/>
          <w:kern w:val="0"/>
          <w:sz w:val="32"/>
          <w:szCs w:val="32"/>
        </w:rPr>
        <w:t>依法办事的法治环境，提升</w:t>
      </w:r>
      <w:r>
        <w:rPr>
          <w:rFonts w:eastAsia="方正仿宋_GBK"/>
          <w:snapToGrid w:val="0"/>
          <w:kern w:val="0"/>
          <w:sz w:val="32"/>
          <w:szCs w:val="32"/>
        </w:rPr>
        <w:t>群众法治获得感、幸福感、安全感</w:t>
      </w:r>
      <w:r>
        <w:rPr>
          <w:rFonts w:eastAsia="方正仿宋_GBK"/>
          <w:bCs/>
          <w:kern w:val="0"/>
          <w:sz w:val="32"/>
          <w:szCs w:val="32"/>
        </w:rPr>
        <w:t>。</w:t>
      </w:r>
    </w:p>
    <w:p w14:paraId="5BDB4872">
      <w:pPr>
        <w:snapToGrid w:val="0"/>
        <w:spacing w:line="550" w:lineRule="exact"/>
        <w:jc w:val="right"/>
        <w:rPr>
          <w:rFonts w:eastAsia="方正仿宋_GBK"/>
          <w:sz w:val="32"/>
          <w:szCs w:val="32"/>
        </w:rPr>
      </w:pPr>
    </w:p>
    <w:p w14:paraId="24EE5A8D">
      <w:pPr>
        <w:snapToGrid w:val="0"/>
        <w:spacing w:line="550" w:lineRule="exact"/>
        <w:jc w:val="right"/>
        <w:rPr>
          <w:rFonts w:eastAsia="方正仿宋_GBK"/>
          <w:sz w:val="32"/>
          <w:szCs w:val="32"/>
        </w:rPr>
      </w:pPr>
    </w:p>
    <w:p w14:paraId="4EFC3C03">
      <w:pPr>
        <w:pStyle w:val="2"/>
        <w:spacing w:line="550" w:lineRule="exact"/>
        <w:ind w:firstLine="320"/>
        <w:rPr>
          <w:rFonts w:ascii="Times New Roman" w:hAnsi="Times New Roman" w:eastAsia="方正仿宋_GBK"/>
          <w:bCs/>
          <w:sz w:val="32"/>
          <w:szCs w:val="32"/>
        </w:rPr>
      </w:pPr>
      <w:r>
        <w:rPr>
          <w:rFonts w:hint="eastAsia" w:ascii="Times New Roman" w:hAnsi="Times New Roman" w:eastAsia="方正仿宋_GBK"/>
          <w:bCs/>
          <w:sz w:val="32"/>
          <w:szCs w:val="32"/>
        </w:rPr>
        <w:t>中共南京市浦口区委员会</w:t>
      </w:r>
    </w:p>
    <w:p w14:paraId="11C25D06">
      <w:pPr>
        <w:pStyle w:val="10"/>
        <w:wordWrap/>
        <w:spacing w:line="550" w:lineRule="exact"/>
        <w:ind w:right="420" w:rightChars="200" w:firstLine="712"/>
        <w:jc w:val="right"/>
      </w:pPr>
      <w:r>
        <w:rPr>
          <w:spacing w:val="17"/>
          <w:kern w:val="0"/>
          <w:fitText w:val="3520" w:id="-777358848"/>
        </w:rPr>
        <w:t>南京市浦口区人民政</w:t>
      </w:r>
      <w:r>
        <w:rPr>
          <w:spacing w:val="7"/>
          <w:kern w:val="0"/>
          <w:fitText w:val="3520" w:id="-777358848"/>
        </w:rPr>
        <w:t>府</w:t>
      </w:r>
    </w:p>
    <w:tbl>
      <w:tblPr>
        <w:tblStyle w:val="6"/>
        <w:tblpPr w:leftFromText="180" w:rightFromText="180" w:vertAnchor="text" w:horzAnchor="margin" w:tblpY="1694"/>
        <w:tblW w:w="8850" w:type="dxa"/>
        <w:tblInd w:w="0" w:type="dxa"/>
        <w:tblBorders>
          <w:top w:val="single" w:color="000000" w:sz="8" w:space="0"/>
          <w:left w:val="none" w:color="auto" w:sz="0" w:space="0"/>
          <w:bottom w:val="single" w:color="000000" w:sz="8" w:space="0"/>
          <w:right w:val="none" w:color="auto" w:sz="0" w:space="0"/>
          <w:insideH w:val="single" w:color="000000" w:sz="6" w:space="0"/>
          <w:insideV w:val="none" w:color="auto" w:sz="0" w:space="0"/>
        </w:tblBorders>
        <w:tblLayout w:type="fixed"/>
        <w:tblCellMar>
          <w:top w:w="0" w:type="dxa"/>
          <w:left w:w="28" w:type="dxa"/>
          <w:bottom w:w="0" w:type="dxa"/>
          <w:right w:w="28" w:type="dxa"/>
        </w:tblCellMar>
      </w:tblPr>
      <w:tblGrid>
        <w:gridCol w:w="5147"/>
        <w:gridCol w:w="3703"/>
      </w:tblGrid>
      <w:tr w14:paraId="7AAA528A">
        <w:tblPrEx>
          <w:tblBorders>
            <w:top w:val="single" w:color="000000" w:sz="8" w:space="0"/>
            <w:left w:val="none" w:color="auto" w:sz="0" w:space="0"/>
            <w:bottom w:val="single" w:color="000000" w:sz="8" w:space="0"/>
            <w:right w:val="none" w:color="auto" w:sz="0" w:space="0"/>
            <w:insideH w:val="single" w:color="000000" w:sz="6" w:space="0"/>
            <w:insideV w:val="none" w:color="auto" w:sz="0" w:space="0"/>
          </w:tblBorders>
          <w:tblCellMar>
            <w:top w:w="0" w:type="dxa"/>
            <w:left w:w="28" w:type="dxa"/>
            <w:bottom w:w="0" w:type="dxa"/>
            <w:right w:w="28" w:type="dxa"/>
          </w:tblCellMar>
        </w:tblPrEx>
        <w:trPr>
          <w:cantSplit/>
          <w:trHeight w:val="973" w:hRule="atLeast"/>
        </w:trPr>
        <w:tc>
          <w:tcPr>
            <w:tcW w:w="5147" w:type="dxa"/>
            <w:tcBorders>
              <w:top w:val="single" w:color="000000" w:sz="8" w:space="0"/>
              <w:left w:val="nil"/>
              <w:bottom w:val="single" w:color="000000" w:sz="8" w:space="0"/>
              <w:right w:val="nil"/>
            </w:tcBorders>
            <w:vAlign w:val="center"/>
          </w:tcPr>
          <w:p w14:paraId="2FC0175D">
            <w:pPr>
              <w:overflowPunct w:val="0"/>
              <w:topLinePunct/>
              <w:spacing w:line="400" w:lineRule="exact"/>
              <w:ind w:firstLine="280" w:firstLineChars="100"/>
              <w:rPr>
                <w:rFonts w:eastAsia="方正仿宋_GBK"/>
                <w:kern w:val="0"/>
                <w:sz w:val="28"/>
                <w:szCs w:val="28"/>
              </w:rPr>
            </w:pPr>
            <w:r>
              <w:rPr>
                <w:rFonts w:hint="eastAsia" w:eastAsia="方正仿宋_GBK"/>
                <w:kern w:val="0"/>
                <w:sz w:val="28"/>
                <w:szCs w:val="28"/>
              </w:rPr>
              <w:t>主送：市委、市政府</w:t>
            </w:r>
          </w:p>
          <w:p w14:paraId="784BA971">
            <w:pPr>
              <w:overflowPunct w:val="0"/>
              <w:topLinePunct/>
              <w:spacing w:line="400" w:lineRule="exact"/>
              <w:ind w:firstLine="280" w:firstLineChars="100"/>
            </w:pPr>
            <w:r>
              <w:rPr>
                <w:rFonts w:hint="eastAsia" w:eastAsia="方正仿宋_GBK"/>
                <w:kern w:val="0"/>
                <w:sz w:val="28"/>
                <w:szCs w:val="28"/>
              </w:rPr>
              <w:t>抄送：市委</w:t>
            </w:r>
            <w:r>
              <w:rPr>
                <w:rFonts w:eastAsia="方正仿宋_GBK"/>
                <w:kern w:val="0"/>
                <w:sz w:val="28"/>
                <w:szCs w:val="28"/>
              </w:rPr>
              <w:t>依法治市办</w:t>
            </w:r>
          </w:p>
        </w:tc>
        <w:tc>
          <w:tcPr>
            <w:tcW w:w="3703" w:type="dxa"/>
            <w:tcBorders>
              <w:top w:val="single" w:color="000000" w:sz="8" w:space="0"/>
              <w:left w:val="nil"/>
              <w:bottom w:val="single" w:color="000000" w:sz="8" w:space="0"/>
              <w:right w:val="nil"/>
            </w:tcBorders>
            <w:vAlign w:val="center"/>
          </w:tcPr>
          <w:p w14:paraId="2CF0CEA4">
            <w:pPr>
              <w:pStyle w:val="14"/>
              <w:overflowPunct w:val="0"/>
              <w:topLinePunct/>
              <w:ind w:right="174" w:rightChars="83"/>
              <w:rPr>
                <w:kern w:val="0"/>
              </w:rPr>
            </w:pPr>
          </w:p>
        </w:tc>
      </w:tr>
      <w:tr w14:paraId="3608EE57">
        <w:tblPrEx>
          <w:tblBorders>
            <w:top w:val="single" w:color="000000" w:sz="8" w:space="0"/>
            <w:left w:val="none" w:color="auto" w:sz="0" w:space="0"/>
            <w:bottom w:val="single" w:color="000000" w:sz="8" w:space="0"/>
            <w:right w:val="none" w:color="auto" w:sz="0" w:space="0"/>
            <w:insideH w:val="single" w:color="000000" w:sz="6" w:space="0"/>
            <w:insideV w:val="none" w:color="auto" w:sz="0" w:space="0"/>
          </w:tblBorders>
          <w:tblCellMar>
            <w:top w:w="0" w:type="dxa"/>
            <w:left w:w="28" w:type="dxa"/>
            <w:bottom w:w="0" w:type="dxa"/>
            <w:right w:w="28" w:type="dxa"/>
          </w:tblCellMar>
        </w:tblPrEx>
        <w:trPr>
          <w:cantSplit/>
          <w:trHeight w:val="570" w:hRule="atLeast"/>
        </w:trPr>
        <w:tc>
          <w:tcPr>
            <w:tcW w:w="5147" w:type="dxa"/>
            <w:tcBorders>
              <w:top w:val="single" w:color="000000" w:sz="8" w:space="0"/>
              <w:left w:val="nil"/>
              <w:bottom w:val="single" w:color="000000" w:sz="8" w:space="0"/>
              <w:right w:val="nil"/>
            </w:tcBorders>
            <w:vAlign w:val="center"/>
          </w:tcPr>
          <w:p w14:paraId="284BBA07">
            <w:pPr>
              <w:overflowPunct w:val="0"/>
              <w:topLinePunct/>
              <w:ind w:firstLine="280" w:firstLineChars="100"/>
              <w:rPr>
                <w:rFonts w:eastAsia="方正仿宋_GBK"/>
                <w:kern w:val="0"/>
                <w:sz w:val="28"/>
                <w:szCs w:val="28"/>
              </w:rPr>
            </w:pPr>
            <w:r>
              <w:rPr>
                <w:rFonts w:hint="eastAsia" w:eastAsia="方正仿宋_GBK"/>
                <w:kern w:val="0"/>
                <w:sz w:val="28"/>
                <w:szCs w:val="28"/>
              </w:rPr>
              <w:t>中共南京市浦口区委办公室</w:t>
            </w:r>
          </w:p>
        </w:tc>
        <w:tc>
          <w:tcPr>
            <w:tcW w:w="3703" w:type="dxa"/>
            <w:tcBorders>
              <w:top w:val="single" w:color="000000" w:sz="8" w:space="0"/>
              <w:left w:val="nil"/>
              <w:bottom w:val="single" w:color="000000" w:sz="8" w:space="0"/>
              <w:right w:val="nil"/>
            </w:tcBorders>
            <w:vAlign w:val="center"/>
          </w:tcPr>
          <w:p w14:paraId="3BDF1A41">
            <w:pPr>
              <w:pStyle w:val="14"/>
              <w:overflowPunct w:val="0"/>
              <w:topLinePunct/>
              <w:ind w:right="174" w:rightChars="83"/>
              <w:rPr>
                <w:kern w:val="0"/>
              </w:rPr>
            </w:pPr>
            <w:r>
              <w:rPr>
                <w:kern w:val="0"/>
              </w:rPr>
              <w:t>2025</w:t>
            </w:r>
            <w:r>
              <w:rPr>
                <w:rFonts w:hint="eastAsia"/>
                <w:kern w:val="0"/>
              </w:rPr>
              <w:t>年</w:t>
            </w:r>
            <w:r>
              <w:rPr>
                <w:kern w:val="0"/>
              </w:rPr>
              <w:t>1</w:t>
            </w:r>
            <w:r>
              <w:rPr>
                <w:rFonts w:hint="eastAsia"/>
                <w:kern w:val="0"/>
              </w:rPr>
              <w:t>月</w:t>
            </w:r>
            <w:r>
              <w:rPr>
                <w:kern w:val="0"/>
              </w:rPr>
              <w:t>26</w:t>
            </w:r>
            <w:r>
              <w:rPr>
                <w:rFonts w:hint="eastAsia"/>
                <w:kern w:val="0"/>
              </w:rPr>
              <w:t>日印发</w:t>
            </w:r>
          </w:p>
        </w:tc>
      </w:tr>
    </w:tbl>
    <w:p w14:paraId="3A6D5200">
      <w:pPr>
        <w:pStyle w:val="10"/>
        <w:wordWrap/>
        <w:spacing w:line="550" w:lineRule="exact"/>
        <w:ind w:firstLine="5440" w:firstLineChars="1700"/>
      </w:pPr>
      <w:r>
        <w:t>2025年1月26日</w:t>
      </w:r>
    </w:p>
    <w:p w14:paraId="30D9762D">
      <w:pPr>
        <w:pStyle w:val="10"/>
      </w:pP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0FC79">
    <w:pPr>
      <w:pStyle w:val="4"/>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v:path/>
          <v:fill on="f" focussize="0,0"/>
          <v:stroke on="f" weight="0.5pt" joinstyle="miter"/>
          <v:imagedata o:title=""/>
          <o:lock v:ext="edit"/>
          <v:textbox inset="0mm,0mm,0mm,0mm" style="mso-fit-shape-to-text:t;">
            <w:txbxContent>
              <w:p w14:paraId="0F4A7C81">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8</w:t>
                </w:r>
                <w:r>
                  <w:rPr>
                    <w:sz w:val="28"/>
                    <w:szCs w:val="28"/>
                  </w:rPr>
                  <w:fldChar w:fldCharType="end"/>
                </w:r>
                <w:r>
                  <w:rPr>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M0YmY4YTRmODMzYjQzNGRkZjE3M2RmZjcyNDRmMzkifQ=="/>
  </w:docVars>
  <w:rsids>
    <w:rsidRoot w:val="55452EC0"/>
    <w:rsid w:val="00040DCA"/>
    <w:rsid w:val="00060E30"/>
    <w:rsid w:val="00061318"/>
    <w:rsid w:val="00072DCB"/>
    <w:rsid w:val="000E6DBC"/>
    <w:rsid w:val="00171ABE"/>
    <w:rsid w:val="001C1D86"/>
    <w:rsid w:val="001D1A3C"/>
    <w:rsid w:val="001D651A"/>
    <w:rsid w:val="00215871"/>
    <w:rsid w:val="002269F6"/>
    <w:rsid w:val="002D6C5C"/>
    <w:rsid w:val="002E409C"/>
    <w:rsid w:val="00401885"/>
    <w:rsid w:val="004512B3"/>
    <w:rsid w:val="004B5984"/>
    <w:rsid w:val="004D2FB1"/>
    <w:rsid w:val="004D412C"/>
    <w:rsid w:val="00592D99"/>
    <w:rsid w:val="007C5956"/>
    <w:rsid w:val="0080677F"/>
    <w:rsid w:val="008102F8"/>
    <w:rsid w:val="00814F28"/>
    <w:rsid w:val="008F636F"/>
    <w:rsid w:val="00A07F94"/>
    <w:rsid w:val="00A52FA3"/>
    <w:rsid w:val="00AA0468"/>
    <w:rsid w:val="00B2747B"/>
    <w:rsid w:val="00BB4384"/>
    <w:rsid w:val="00CF6179"/>
    <w:rsid w:val="00DC44DC"/>
    <w:rsid w:val="00E4599F"/>
    <w:rsid w:val="00E84677"/>
    <w:rsid w:val="00F85568"/>
    <w:rsid w:val="00F8754E"/>
    <w:rsid w:val="00FC1D73"/>
    <w:rsid w:val="011114B8"/>
    <w:rsid w:val="01DE36AF"/>
    <w:rsid w:val="026B784F"/>
    <w:rsid w:val="03C24F74"/>
    <w:rsid w:val="04B738E0"/>
    <w:rsid w:val="068943A3"/>
    <w:rsid w:val="082A5E47"/>
    <w:rsid w:val="093F3A52"/>
    <w:rsid w:val="0B07060D"/>
    <w:rsid w:val="0B1F4FB2"/>
    <w:rsid w:val="0DD22306"/>
    <w:rsid w:val="0FF90C5B"/>
    <w:rsid w:val="100C325B"/>
    <w:rsid w:val="103C7887"/>
    <w:rsid w:val="10F84DC6"/>
    <w:rsid w:val="12904FB9"/>
    <w:rsid w:val="14527284"/>
    <w:rsid w:val="145D23D3"/>
    <w:rsid w:val="15682BFA"/>
    <w:rsid w:val="15FE0FDC"/>
    <w:rsid w:val="15FF7474"/>
    <w:rsid w:val="16307CAF"/>
    <w:rsid w:val="175D5F2A"/>
    <w:rsid w:val="1769695C"/>
    <w:rsid w:val="192C2501"/>
    <w:rsid w:val="1AC42F14"/>
    <w:rsid w:val="1AD35261"/>
    <w:rsid w:val="1B9801C6"/>
    <w:rsid w:val="1BC716A2"/>
    <w:rsid w:val="1C2A63C6"/>
    <w:rsid w:val="1C420566"/>
    <w:rsid w:val="1C5C0709"/>
    <w:rsid w:val="1C7207A4"/>
    <w:rsid w:val="1CC21188"/>
    <w:rsid w:val="1FE50B16"/>
    <w:rsid w:val="20490D61"/>
    <w:rsid w:val="227014BC"/>
    <w:rsid w:val="24004109"/>
    <w:rsid w:val="260906B2"/>
    <w:rsid w:val="26AD6783"/>
    <w:rsid w:val="2B0A5D92"/>
    <w:rsid w:val="2B12524F"/>
    <w:rsid w:val="2B5B5E24"/>
    <w:rsid w:val="2BD279C4"/>
    <w:rsid w:val="2CBB6FFF"/>
    <w:rsid w:val="2CD834D4"/>
    <w:rsid w:val="2D0A0489"/>
    <w:rsid w:val="2D494E92"/>
    <w:rsid w:val="2E073E28"/>
    <w:rsid w:val="2F66792C"/>
    <w:rsid w:val="30406FD1"/>
    <w:rsid w:val="33684C27"/>
    <w:rsid w:val="351B0078"/>
    <w:rsid w:val="35C017B7"/>
    <w:rsid w:val="36DB6088"/>
    <w:rsid w:val="38533898"/>
    <w:rsid w:val="3CB04743"/>
    <w:rsid w:val="3F041745"/>
    <w:rsid w:val="3FE47D71"/>
    <w:rsid w:val="433C1D32"/>
    <w:rsid w:val="445D7D43"/>
    <w:rsid w:val="44BA19CF"/>
    <w:rsid w:val="4581435E"/>
    <w:rsid w:val="459B5EC6"/>
    <w:rsid w:val="4AA253B3"/>
    <w:rsid w:val="4AAC5BD5"/>
    <w:rsid w:val="4AC35003"/>
    <w:rsid w:val="4B2772B4"/>
    <w:rsid w:val="4C0765D3"/>
    <w:rsid w:val="4D713137"/>
    <w:rsid w:val="4DCC6B8B"/>
    <w:rsid w:val="4E642316"/>
    <w:rsid w:val="4FFB325E"/>
    <w:rsid w:val="524E3B5A"/>
    <w:rsid w:val="550B497B"/>
    <w:rsid w:val="55452EC0"/>
    <w:rsid w:val="56397F66"/>
    <w:rsid w:val="567C1D5A"/>
    <w:rsid w:val="576F4ADE"/>
    <w:rsid w:val="57FB7662"/>
    <w:rsid w:val="592D105D"/>
    <w:rsid w:val="598447C2"/>
    <w:rsid w:val="599A2E5C"/>
    <w:rsid w:val="5A6F561B"/>
    <w:rsid w:val="5B5E5373"/>
    <w:rsid w:val="5C201ACD"/>
    <w:rsid w:val="5C4E703C"/>
    <w:rsid w:val="5C544FD7"/>
    <w:rsid w:val="5F063059"/>
    <w:rsid w:val="5F520F04"/>
    <w:rsid w:val="5F8E092D"/>
    <w:rsid w:val="5FBE4BCD"/>
    <w:rsid w:val="601544FE"/>
    <w:rsid w:val="607868B8"/>
    <w:rsid w:val="64BB3718"/>
    <w:rsid w:val="64FE4632"/>
    <w:rsid w:val="66056845"/>
    <w:rsid w:val="666230CA"/>
    <w:rsid w:val="68987376"/>
    <w:rsid w:val="6A0B3466"/>
    <w:rsid w:val="6AAC60FF"/>
    <w:rsid w:val="6BAC2E70"/>
    <w:rsid w:val="6BF9383E"/>
    <w:rsid w:val="6C30621C"/>
    <w:rsid w:val="6CD62FBC"/>
    <w:rsid w:val="6EA44983"/>
    <w:rsid w:val="6EC845DD"/>
    <w:rsid w:val="70E70C90"/>
    <w:rsid w:val="71425E7E"/>
    <w:rsid w:val="717D52A3"/>
    <w:rsid w:val="73226394"/>
    <w:rsid w:val="73DF0D3E"/>
    <w:rsid w:val="73E612F5"/>
    <w:rsid w:val="742B660D"/>
    <w:rsid w:val="74EF0C8B"/>
    <w:rsid w:val="75697711"/>
    <w:rsid w:val="77862FBF"/>
    <w:rsid w:val="79453CC2"/>
    <w:rsid w:val="79A4194C"/>
    <w:rsid w:val="79BB5B7C"/>
    <w:rsid w:val="7A316165"/>
    <w:rsid w:val="7AAB10FC"/>
    <w:rsid w:val="7AC57DCC"/>
    <w:rsid w:val="7BAC7174"/>
    <w:rsid w:val="7BE21ACF"/>
    <w:rsid w:val="7EFD7E3A"/>
    <w:rsid w:val="7F4E69D2"/>
    <w:rsid w:val="7F8203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autoRedefine/>
    <w:unhideWhenUsed/>
    <w:qFormat/>
    <w:uiPriority w:val="99"/>
    <w:pPr>
      <w:snapToGrid w:val="0"/>
      <w:spacing w:line="578" w:lineRule="exact"/>
      <w:ind w:right="420" w:rightChars="200" w:firstLine="210" w:firstLineChars="100"/>
      <w:jc w:val="right"/>
    </w:pPr>
    <w:rPr>
      <w:rFonts w:ascii="Calibri" w:hAnsi="Calibri"/>
    </w:rPr>
  </w:style>
  <w:style w:type="paragraph" w:styleId="3">
    <w:name w:val="Body Text"/>
    <w:basedOn w:val="1"/>
    <w:autoRedefine/>
    <w:qFormat/>
    <w:uiPriority w:val="0"/>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FollowedHyperlink"/>
    <w:basedOn w:val="7"/>
    <w:qFormat/>
    <w:uiPriority w:val="0"/>
    <w:rPr>
      <w:color w:val="252525"/>
      <w:u w:val="none"/>
    </w:rPr>
  </w:style>
  <w:style w:type="character" w:styleId="9">
    <w:name w:val="Hyperlink"/>
    <w:basedOn w:val="7"/>
    <w:qFormat/>
    <w:uiPriority w:val="0"/>
    <w:rPr>
      <w:color w:val="252525"/>
      <w:u w:val="none"/>
    </w:rPr>
  </w:style>
  <w:style w:type="paragraph" w:customStyle="1" w:styleId="10">
    <w:name w:val="p0"/>
    <w:basedOn w:val="1"/>
    <w:autoRedefine/>
    <w:qFormat/>
    <w:uiPriority w:val="0"/>
    <w:pPr>
      <w:wordWrap w:val="0"/>
      <w:snapToGrid w:val="0"/>
      <w:spacing w:line="578" w:lineRule="exact"/>
      <w:ind w:firstLine="640" w:firstLineChars="200"/>
    </w:pPr>
    <w:rPr>
      <w:rFonts w:eastAsia="方正仿宋_GBK"/>
      <w:kern w:val="0"/>
      <w:sz w:val="32"/>
      <w:szCs w:val="32"/>
    </w:rPr>
  </w:style>
  <w:style w:type="paragraph" w:customStyle="1" w:styleId="11">
    <w:name w:val="紧急程度"/>
    <w:basedOn w:val="1"/>
    <w:qFormat/>
    <w:uiPriority w:val="0"/>
    <w:pPr>
      <w:jc w:val="right"/>
    </w:pPr>
    <w:rPr>
      <w:rFonts w:ascii="仿宋_GB2312" w:eastAsia="黑体"/>
      <w:sz w:val="32"/>
      <w:szCs w:val="20"/>
    </w:rPr>
  </w:style>
  <w:style w:type="paragraph" w:customStyle="1" w:styleId="12">
    <w:name w:val="发文机关标识"/>
    <w:basedOn w:val="1"/>
    <w:qFormat/>
    <w:uiPriority w:val="0"/>
    <w:pPr>
      <w:spacing w:line="1300" w:lineRule="exact"/>
      <w:jc w:val="distribute"/>
    </w:pPr>
    <w:rPr>
      <w:rFonts w:ascii="仿宋_GB2312" w:eastAsia="方正小标宋简体"/>
      <w:b/>
      <w:color w:val="FF0000"/>
      <w:spacing w:val="-60"/>
      <w:w w:val="66"/>
      <w:kern w:val="0"/>
      <w:sz w:val="120"/>
      <w:szCs w:val="20"/>
    </w:rPr>
  </w:style>
  <w:style w:type="paragraph" w:customStyle="1" w:styleId="13">
    <w:name w:val="发文字号"/>
    <w:basedOn w:val="1"/>
    <w:qFormat/>
    <w:uiPriority w:val="0"/>
    <w:pPr>
      <w:jc w:val="center"/>
    </w:pPr>
    <w:rPr>
      <w:rFonts w:eastAsia="仿宋_GB2312"/>
      <w:sz w:val="32"/>
      <w:szCs w:val="20"/>
    </w:rPr>
  </w:style>
  <w:style w:type="paragraph" w:customStyle="1" w:styleId="14">
    <w:name w:val="样式 印发时间 + 四号"/>
    <w:basedOn w:val="1"/>
    <w:uiPriority w:val="0"/>
    <w:pPr>
      <w:jc w:val="right"/>
    </w:pPr>
    <w:rPr>
      <w:rFonts w:eastAsia="方正仿宋_GBK"/>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Corp.</Company>
  <Pages>10</Pages>
  <Words>4886</Words>
  <Characters>5113</Characters>
  <Lines>36</Lines>
  <Paragraphs>10</Paragraphs>
  <TotalTime>98</TotalTime>
  <ScaleCrop>false</ScaleCrop>
  <LinksUpToDate>false</LinksUpToDate>
  <CharactersWithSpaces>5135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2022-12-06T02:01:00Z</dcterms:created>
  <dc:creator>wangdaxian</dc:creator>
  <cp:lastModifiedBy>小仙女爱丽</cp:lastModifiedBy>
  <cp:lastPrinted>2025-01-20T03:40:00Z</cp:lastPrinted>
  <dcterms:modified xsi:type="dcterms:W3CDTF">2025-02-08T03:02:27Z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CF106193922E45409ACBC9A94F80566A_13</vt:lpwstr>
  </property>
  <property fmtid="{D5CDD505-2E9C-101B-9397-08002B2CF9AE}" pid="4" name="KSOTemplateDocerSaveRecord">
    <vt:lpwstr>eyJoZGlkIjoiNTc0YjA5Yjk0N2MwY2U0NDlhNTZlYjFlODZhOTI5ZDgiLCJ1c2VySWQiOiI2Mjg0Njg0NTIifQ==</vt:lpwstr>
  </property>
</Properties>
</file>