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62479">
      <w:pPr>
        <w:pStyle w:val="2"/>
        <w:keepNext w:val="0"/>
        <w:keepLines w:val="0"/>
        <w:pageBreakBefore w:val="0"/>
        <w:widowControl w:val="0"/>
        <w:kinsoku/>
        <w:wordWrap/>
        <w:overflowPunct w:val="0"/>
        <w:topLinePunct w:val="0"/>
        <w:autoSpaceDE/>
        <w:autoSpaceDN/>
        <w:bidi w:val="0"/>
        <w:spacing w:line="560" w:lineRule="exact"/>
        <w:jc w:val="both"/>
        <w:rPr>
          <w:rFonts w:hint="default" w:ascii="Times New Roman" w:hAnsi="Times New Roman" w:eastAsia="方正黑体_GBK" w:cs="Times New Roman"/>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w:t>
      </w:r>
      <w:r>
        <w:rPr>
          <w:rFonts w:hint="default" w:ascii="Times New Roman" w:hAnsi="Times New Roman" w:eastAsia="方正黑体_GBK" w:cs="Times New Roman"/>
          <w:color w:val="auto"/>
          <w:sz w:val="32"/>
          <w:szCs w:val="32"/>
          <w:highlight w:val="none"/>
          <w:lang w:val="en-US" w:eastAsia="zh-CN"/>
        </w:rPr>
        <w:t>1</w:t>
      </w:r>
    </w:p>
    <w:p w14:paraId="5C383FF9">
      <w:pPr>
        <w:pStyle w:val="2"/>
        <w:keepNext w:val="0"/>
        <w:keepLines w:val="0"/>
        <w:pageBreakBefore w:val="0"/>
        <w:widowControl w:val="0"/>
        <w:kinsoku/>
        <w:wordWrap/>
        <w:overflowPunct w:val="0"/>
        <w:topLinePunct w:val="0"/>
        <w:autoSpaceDE/>
        <w:autoSpaceDN/>
        <w:bidi w:val="0"/>
        <w:spacing w:line="560" w:lineRule="exact"/>
        <w:jc w:val="both"/>
        <w:rPr>
          <w:rFonts w:hint="eastAsia" w:ascii="Times New Roman" w:hAnsi="Times New Roman" w:eastAsia="方正黑体_GBK" w:cs="Times New Roman"/>
          <w:color w:val="auto"/>
          <w:sz w:val="32"/>
          <w:szCs w:val="32"/>
          <w:highlight w:val="none"/>
          <w:lang w:val="en-US" w:eastAsia="zh-CN"/>
        </w:rPr>
      </w:pPr>
    </w:p>
    <w:p w14:paraId="1610621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Times New Roman" w:hAnsi="Times New Roman" w:eastAsia="方正小标宋_GBK" w:cs="Times New Roman"/>
          <w:snapToGrid/>
          <w:color w:val="auto"/>
          <w:kern w:val="2"/>
          <w:sz w:val="44"/>
          <w:szCs w:val="44"/>
          <w:highlight w:val="none"/>
          <w:lang w:eastAsia="zh-CN"/>
        </w:rPr>
      </w:pPr>
      <w:r>
        <w:rPr>
          <w:rFonts w:ascii="Times New Roman" w:hAnsi="Times New Roman" w:eastAsia="方正小标宋_GBK" w:cs="Times New Roman"/>
          <w:snapToGrid/>
          <w:color w:val="auto"/>
          <w:kern w:val="2"/>
          <w:sz w:val="44"/>
          <w:szCs w:val="44"/>
          <w:highlight w:val="none"/>
          <w:lang w:eastAsia="zh-CN"/>
        </w:rPr>
        <w:t>南京市浦口区知识产权奖励办法</w:t>
      </w:r>
    </w:p>
    <w:p w14:paraId="6CB21AF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snapToGrid/>
          <w:color w:val="auto"/>
          <w:kern w:val="2"/>
          <w:sz w:val="30"/>
          <w:szCs w:val="30"/>
          <w:highlight w:val="none"/>
          <w:lang w:eastAsia="zh-CN"/>
        </w:rPr>
      </w:pPr>
      <w:r>
        <w:rPr>
          <w:rFonts w:hint="eastAsia" w:ascii="方正楷体_GB2312" w:hAnsi="方正楷体_GB2312" w:eastAsia="方正楷体_GB2312" w:cs="方正楷体_GB2312"/>
          <w:snapToGrid/>
          <w:color w:val="auto"/>
          <w:kern w:val="2"/>
          <w:sz w:val="30"/>
          <w:szCs w:val="30"/>
          <w:highlight w:val="none"/>
          <w:lang w:eastAsia="zh-CN"/>
        </w:rPr>
        <w:t>（</w:t>
      </w:r>
      <w:r>
        <w:rPr>
          <w:rFonts w:hint="eastAsia" w:ascii="方正楷体_GB2312" w:hAnsi="方正楷体_GB2312" w:eastAsia="方正楷体_GB2312" w:cs="方正楷体_GB2312"/>
          <w:snapToGrid/>
          <w:color w:val="auto"/>
          <w:kern w:val="2"/>
          <w:sz w:val="30"/>
          <w:szCs w:val="30"/>
          <w:highlight w:val="none"/>
          <w:lang w:val="en-US" w:eastAsia="zh-CN"/>
        </w:rPr>
        <w:t>征求意见稿</w:t>
      </w:r>
      <w:r>
        <w:rPr>
          <w:rFonts w:hint="eastAsia" w:ascii="方正楷体_GB2312" w:hAnsi="方正楷体_GB2312" w:eastAsia="方正楷体_GB2312" w:cs="方正楷体_GB2312"/>
          <w:snapToGrid/>
          <w:color w:val="auto"/>
          <w:kern w:val="2"/>
          <w:sz w:val="30"/>
          <w:szCs w:val="30"/>
          <w:highlight w:val="none"/>
          <w:lang w:eastAsia="zh-CN"/>
        </w:rPr>
        <w:t>）</w:t>
      </w:r>
    </w:p>
    <w:p w14:paraId="1F57E0E2">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楷体_GB2312" w:hAnsi="方正楷体_GB2312" w:eastAsia="方正楷体_GB2312" w:cs="方正楷体_GB2312"/>
          <w:snapToGrid/>
          <w:color w:val="auto"/>
          <w:kern w:val="2"/>
          <w:sz w:val="30"/>
          <w:szCs w:val="30"/>
          <w:highlight w:val="none"/>
          <w:lang w:eastAsia="zh-CN"/>
        </w:rPr>
      </w:pPr>
    </w:p>
    <w:p w14:paraId="41878DF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snapToGrid/>
          <w:color w:val="auto"/>
          <w:spacing w:val="10"/>
          <w:kern w:val="2"/>
          <w:sz w:val="32"/>
          <w:szCs w:val="32"/>
          <w:highlight w:val="none"/>
          <w:lang w:val="en-US" w:eastAsia="zh-CN"/>
        </w:rPr>
      </w:pPr>
      <w:r>
        <w:rPr>
          <w:rFonts w:hint="eastAsia" w:ascii="方正黑体_GBK" w:hAnsi="方正黑体_GBK" w:eastAsia="方正黑体_GBK" w:cs="方正黑体_GBK"/>
          <w:snapToGrid/>
          <w:color w:val="auto"/>
          <w:spacing w:val="10"/>
          <w:kern w:val="2"/>
          <w:sz w:val="32"/>
          <w:szCs w:val="32"/>
          <w:highlight w:val="none"/>
          <w:lang w:eastAsia="zh-CN"/>
        </w:rPr>
        <w:t>第一条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hint="eastAsia" w:ascii="Times New Roman" w:hAnsi="Times New Roman" w:eastAsia="方正仿宋_GBK" w:cs="Times New Roman"/>
          <w:snapToGrid/>
          <w:color w:val="auto"/>
          <w:spacing w:val="10"/>
          <w:kern w:val="2"/>
          <w:sz w:val="32"/>
          <w:szCs w:val="32"/>
          <w:highlight w:val="none"/>
          <w:lang w:val="en-US" w:eastAsia="zh-CN"/>
        </w:rPr>
        <w:t xml:space="preserve"> </w:t>
      </w:r>
      <w:r>
        <w:rPr>
          <w:rFonts w:ascii="Times New Roman" w:hAnsi="Times New Roman" w:eastAsia="方正仿宋_GBK" w:cs="Times New Roman"/>
          <w:snapToGrid/>
          <w:color w:val="auto"/>
          <w:spacing w:val="10"/>
          <w:kern w:val="2"/>
          <w:sz w:val="32"/>
          <w:szCs w:val="32"/>
          <w:highlight w:val="none"/>
          <w:lang w:eastAsia="zh-CN"/>
        </w:rPr>
        <w:t>为全面落实《知识产权强国建设纲要（2021</w:t>
      </w:r>
      <w:r>
        <w:rPr>
          <w:rFonts w:hint="eastAsia" w:ascii="方正仿宋_GBK" w:hAnsi="方正仿宋_GBK" w:eastAsia="方正仿宋_GBK" w:cs="方正仿宋_GBK"/>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2035年）》《江苏省知识产权强省建设纲要（2021</w:t>
      </w:r>
      <w:r>
        <w:rPr>
          <w:rFonts w:hint="eastAsia" w:ascii="方正仿宋_GBK" w:hAnsi="方正仿宋_GBK" w:eastAsia="方正仿宋_GBK" w:cs="方正仿宋_GBK"/>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2035年）》《江苏省知识产权促进和保护条例》</w:t>
      </w:r>
      <w:r>
        <w:rPr>
          <w:rFonts w:hint="eastAsia" w:ascii="Times New Roman" w:hAnsi="Times New Roman" w:eastAsia="方正仿宋_GBK" w:cs="Times New Roman"/>
          <w:snapToGrid/>
          <w:color w:val="auto"/>
          <w:spacing w:val="10"/>
          <w:kern w:val="2"/>
          <w:sz w:val="32"/>
          <w:szCs w:val="32"/>
          <w:highlight w:val="none"/>
          <w:lang w:eastAsia="zh-CN"/>
        </w:rPr>
        <w:t>《南京市知识产权促进和保护条例》《南京市知识产权领域市与区财政事权和支出责任划分改革方案》（宁政办发</w:t>
      </w:r>
      <w:r>
        <w:rPr>
          <w:rFonts w:hint="default" w:ascii="Times New Roman" w:hAnsi="Times New Roman" w:eastAsia="方正仿宋_GBK" w:cs="Times New Roman"/>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202</w:t>
      </w:r>
      <w:r>
        <w:rPr>
          <w:rFonts w:hint="eastAsia" w:ascii="Times New Roman" w:hAnsi="Times New Roman" w:eastAsia="方正仿宋_GBK" w:cs="Times New Roman"/>
          <w:snapToGrid/>
          <w:color w:val="auto"/>
          <w:spacing w:val="10"/>
          <w:kern w:val="2"/>
          <w:sz w:val="32"/>
          <w:szCs w:val="32"/>
          <w:highlight w:val="none"/>
          <w:lang w:val="en-US" w:eastAsia="zh-CN"/>
        </w:rPr>
        <w:t>5</w:t>
      </w:r>
      <w:r>
        <w:rPr>
          <w:rFonts w:ascii="Times New Roman" w:hAnsi="Times New Roman" w:eastAsia="方正仿宋_GBK" w:cs="Times New Roman"/>
          <w:snapToGrid/>
          <w:color w:val="auto"/>
          <w:spacing w:val="10"/>
          <w:kern w:val="2"/>
          <w:sz w:val="32"/>
          <w:szCs w:val="32"/>
          <w:highlight w:val="none"/>
          <w:lang w:eastAsia="zh-CN"/>
        </w:rPr>
        <w:t>〕3</w:t>
      </w:r>
      <w:r>
        <w:rPr>
          <w:rFonts w:hint="eastAsia" w:ascii="Times New Roman" w:hAnsi="Times New Roman" w:eastAsia="方正仿宋_GBK" w:cs="Times New Roman"/>
          <w:snapToGrid/>
          <w:color w:val="auto"/>
          <w:spacing w:val="10"/>
          <w:kern w:val="2"/>
          <w:sz w:val="32"/>
          <w:szCs w:val="32"/>
          <w:highlight w:val="none"/>
          <w:lang w:val="en-US" w:eastAsia="zh-CN"/>
        </w:rPr>
        <w:t>2</w:t>
      </w:r>
      <w:r>
        <w:rPr>
          <w:rFonts w:ascii="Times New Roman" w:hAnsi="Times New Roman" w:eastAsia="方正仿宋_GBK" w:cs="Times New Roman"/>
          <w:snapToGrid/>
          <w:color w:val="auto"/>
          <w:spacing w:val="10"/>
          <w:kern w:val="2"/>
          <w:sz w:val="32"/>
          <w:szCs w:val="32"/>
          <w:highlight w:val="none"/>
          <w:lang w:eastAsia="zh-CN"/>
        </w:rPr>
        <w:t>号</w:t>
      </w:r>
      <w:r>
        <w:rPr>
          <w:rFonts w:hint="eastAsia" w:ascii="Times New Roman" w:hAnsi="Times New Roman" w:eastAsia="方正仿宋_GBK" w:cs="Times New Roman"/>
          <w:snapToGrid/>
          <w:color w:val="auto"/>
          <w:spacing w:val="10"/>
          <w:kern w:val="2"/>
          <w:sz w:val="32"/>
          <w:szCs w:val="32"/>
          <w:highlight w:val="none"/>
          <w:lang w:eastAsia="zh-CN"/>
        </w:rPr>
        <w:t>）文件精神，</w:t>
      </w:r>
      <w:r>
        <w:rPr>
          <w:rFonts w:hint="eastAsia" w:ascii="Times New Roman" w:hAnsi="Times New Roman" w:eastAsia="方正仿宋_GBK" w:cs="Times New Roman"/>
          <w:snapToGrid/>
          <w:color w:val="auto"/>
          <w:spacing w:val="10"/>
          <w:kern w:val="2"/>
          <w:sz w:val="32"/>
          <w:szCs w:val="32"/>
          <w:highlight w:val="none"/>
          <w:lang w:val="en-US" w:eastAsia="zh-CN"/>
        </w:rPr>
        <w:t>结合本区实际，制定本办法。</w:t>
      </w:r>
    </w:p>
    <w:p w14:paraId="7D06908B">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第二条</w:t>
      </w:r>
      <w:r>
        <w:rPr>
          <w:rFonts w:hint="eastAsia" w:ascii="Times New Roman" w:hAnsi="Times New Roman" w:eastAsia="方正仿宋_GBK" w:cs="Times New Roman"/>
          <w:snapToGrid/>
          <w:color w:val="auto"/>
          <w:spacing w:val="10"/>
          <w:kern w:val="2"/>
          <w:sz w:val="32"/>
          <w:szCs w:val="32"/>
          <w:highlight w:val="none"/>
          <w:lang w:eastAsia="zh-CN"/>
        </w:rPr>
        <w:t xml:space="preserve">  办法涉及</w:t>
      </w:r>
      <w:r>
        <w:rPr>
          <w:rFonts w:ascii="Times New Roman" w:hAnsi="Times New Roman" w:eastAsia="方正仿宋_GBK" w:cs="Times New Roman"/>
          <w:snapToGrid/>
          <w:color w:val="auto"/>
          <w:spacing w:val="10"/>
          <w:kern w:val="2"/>
          <w:sz w:val="32"/>
          <w:szCs w:val="32"/>
          <w:highlight w:val="none"/>
          <w:lang w:eastAsia="zh-CN"/>
        </w:rPr>
        <w:t>专项资金由区市场监督管理局（知识产权局）使用管理，所需资金由区财政列入年度预算予以保障。</w:t>
      </w:r>
    </w:p>
    <w:p w14:paraId="30652DFE">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第三条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本办法适用于在浦口区的企事业单位</w:t>
      </w:r>
      <w:r>
        <w:rPr>
          <w:rFonts w:hint="eastAsia" w:ascii="Times New Roman" w:hAnsi="Times New Roman" w:eastAsia="方正仿宋_GBK" w:cs="Times New Roman"/>
          <w:snapToGrid/>
          <w:color w:val="auto"/>
          <w:spacing w:val="10"/>
          <w:kern w:val="2"/>
          <w:sz w:val="32"/>
          <w:szCs w:val="32"/>
          <w:highlight w:val="none"/>
          <w:lang w:eastAsia="zh-CN"/>
        </w:rPr>
        <w:t>和个人</w:t>
      </w:r>
      <w:r>
        <w:rPr>
          <w:rFonts w:ascii="Times New Roman" w:hAnsi="Times New Roman" w:eastAsia="方正仿宋_GBK" w:cs="Times New Roman"/>
          <w:snapToGrid/>
          <w:color w:val="auto"/>
          <w:spacing w:val="10"/>
          <w:kern w:val="2"/>
          <w:sz w:val="32"/>
          <w:szCs w:val="32"/>
          <w:highlight w:val="none"/>
          <w:lang w:eastAsia="zh-CN"/>
        </w:rPr>
        <w:t>等。</w:t>
      </w:r>
    </w:p>
    <w:p w14:paraId="6EE4FEB0">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第四条</w:t>
      </w:r>
      <w:r>
        <w:rPr>
          <w:rFonts w:hint="eastAsia" w:ascii="Times New Roman" w:hAnsi="Times New Roman" w:eastAsia="方正仿宋_GBK" w:cs="Times New Roman"/>
          <w:snapToGrid/>
          <w:color w:val="auto"/>
          <w:spacing w:val="10"/>
          <w:kern w:val="2"/>
          <w:sz w:val="32"/>
          <w:szCs w:val="32"/>
          <w:highlight w:val="none"/>
          <w:lang w:eastAsia="zh-CN"/>
        </w:rPr>
        <w:t xml:space="preserve">  驰名商标奖励。对新获得驰名商标</w:t>
      </w:r>
      <w:r>
        <w:rPr>
          <w:rFonts w:hint="eastAsia" w:ascii="Times New Roman" w:hAnsi="Times New Roman" w:eastAsia="方正仿宋_GBK" w:cs="Times New Roman"/>
          <w:snapToGrid/>
          <w:color w:val="auto"/>
          <w:spacing w:val="10"/>
          <w:kern w:val="2"/>
          <w:sz w:val="32"/>
          <w:szCs w:val="32"/>
          <w:highlight w:val="none"/>
          <w:lang w:val="en-US" w:eastAsia="zh-CN"/>
        </w:rPr>
        <w:t>认定</w:t>
      </w:r>
      <w:r>
        <w:rPr>
          <w:rFonts w:hint="eastAsia" w:ascii="Times New Roman" w:hAnsi="Times New Roman" w:eastAsia="方正仿宋_GBK" w:cs="Times New Roman"/>
          <w:snapToGrid/>
          <w:color w:val="auto"/>
          <w:spacing w:val="10"/>
          <w:kern w:val="2"/>
          <w:sz w:val="32"/>
          <w:szCs w:val="32"/>
          <w:highlight w:val="none"/>
          <w:lang w:eastAsia="zh-CN"/>
        </w:rPr>
        <w:t>的企事业单位给予每件一次性最高10万元奖励。</w:t>
      </w:r>
    </w:p>
    <w:p w14:paraId="1B158771">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第五条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专利获奖奖励。对获得中国专利金奖、银奖和优秀奖的，每件分别给予一次性最高奖励</w:t>
      </w:r>
      <w:r>
        <w:rPr>
          <w:rFonts w:hint="eastAsia" w:ascii="Times New Roman" w:hAnsi="Times New Roman" w:eastAsia="方正仿宋_GBK" w:cs="Times New Roman"/>
          <w:snapToGrid/>
          <w:color w:val="auto"/>
          <w:spacing w:val="10"/>
          <w:kern w:val="2"/>
          <w:sz w:val="32"/>
          <w:szCs w:val="32"/>
          <w:highlight w:val="none"/>
          <w:lang w:val="en-US" w:eastAsia="zh-CN"/>
        </w:rPr>
        <w:t>50</w:t>
      </w:r>
      <w:r>
        <w:rPr>
          <w:rFonts w:ascii="Times New Roman" w:hAnsi="Times New Roman" w:eastAsia="方正仿宋_GBK" w:cs="Times New Roman"/>
          <w:snapToGrid/>
          <w:color w:val="auto"/>
          <w:spacing w:val="10"/>
          <w:kern w:val="2"/>
          <w:sz w:val="32"/>
          <w:szCs w:val="32"/>
          <w:highlight w:val="none"/>
          <w:lang w:eastAsia="zh-CN"/>
        </w:rPr>
        <w:t>万元、</w:t>
      </w:r>
      <w:r>
        <w:rPr>
          <w:rFonts w:hint="eastAsia" w:ascii="Times New Roman" w:hAnsi="Times New Roman" w:eastAsia="方正仿宋_GBK" w:cs="Times New Roman"/>
          <w:snapToGrid/>
          <w:color w:val="auto"/>
          <w:spacing w:val="10"/>
          <w:kern w:val="2"/>
          <w:sz w:val="32"/>
          <w:szCs w:val="32"/>
          <w:highlight w:val="none"/>
          <w:lang w:val="en-US" w:eastAsia="zh-CN"/>
        </w:rPr>
        <w:t>20</w:t>
      </w:r>
      <w:r>
        <w:rPr>
          <w:rFonts w:ascii="Times New Roman" w:hAnsi="Times New Roman" w:eastAsia="方正仿宋_GBK" w:cs="Times New Roman"/>
          <w:snapToGrid/>
          <w:color w:val="auto"/>
          <w:spacing w:val="10"/>
          <w:kern w:val="2"/>
          <w:sz w:val="32"/>
          <w:szCs w:val="32"/>
          <w:highlight w:val="none"/>
          <w:lang w:eastAsia="zh-CN"/>
        </w:rPr>
        <w:t>万元、</w:t>
      </w:r>
      <w:r>
        <w:rPr>
          <w:rFonts w:hint="eastAsia" w:ascii="Times New Roman" w:hAnsi="Times New Roman" w:eastAsia="方正仿宋_GBK" w:cs="Times New Roman"/>
          <w:snapToGrid/>
          <w:color w:val="auto"/>
          <w:spacing w:val="10"/>
          <w:kern w:val="2"/>
          <w:sz w:val="32"/>
          <w:szCs w:val="32"/>
          <w:highlight w:val="none"/>
          <w:lang w:val="en-US" w:eastAsia="zh-CN"/>
        </w:rPr>
        <w:t>10</w:t>
      </w:r>
      <w:r>
        <w:rPr>
          <w:rFonts w:ascii="Times New Roman" w:hAnsi="Times New Roman" w:eastAsia="方正仿宋_GBK" w:cs="Times New Roman"/>
          <w:snapToGrid/>
          <w:color w:val="auto"/>
          <w:spacing w:val="10"/>
          <w:kern w:val="2"/>
          <w:sz w:val="32"/>
          <w:szCs w:val="32"/>
          <w:highlight w:val="none"/>
          <w:lang w:eastAsia="zh-CN"/>
        </w:rPr>
        <w:t>万元；对获得中国外观设计金奖、银奖和优秀奖的，每件分别给予一次性最高奖励15万元、10万元、5万元；对获得江苏省专利奖金奖、银奖、优秀奖或南京市专利奖的，分别给予一次性最高奖励8万元、5万元、3万元、</w:t>
      </w:r>
      <w:r>
        <w:rPr>
          <w:rFonts w:hint="eastAsia" w:ascii="Times New Roman" w:hAnsi="Times New Roman" w:eastAsia="方正仿宋_GBK" w:cs="Times New Roman"/>
          <w:snapToGrid/>
          <w:color w:val="auto"/>
          <w:spacing w:val="10"/>
          <w:kern w:val="2"/>
          <w:sz w:val="32"/>
          <w:szCs w:val="32"/>
          <w:highlight w:val="none"/>
          <w:lang w:val="en-US" w:eastAsia="zh-CN"/>
        </w:rPr>
        <w:t>1</w:t>
      </w:r>
      <w:r>
        <w:rPr>
          <w:rFonts w:ascii="Times New Roman" w:hAnsi="Times New Roman" w:eastAsia="方正仿宋_GBK" w:cs="Times New Roman"/>
          <w:snapToGrid/>
          <w:color w:val="auto"/>
          <w:spacing w:val="10"/>
          <w:kern w:val="2"/>
          <w:sz w:val="32"/>
          <w:szCs w:val="32"/>
          <w:highlight w:val="none"/>
          <w:lang w:eastAsia="zh-CN"/>
        </w:rPr>
        <w:t>万元。</w:t>
      </w:r>
    </w:p>
    <w:p w14:paraId="776A618E">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第六条</w:t>
      </w:r>
      <w:r>
        <w:rPr>
          <w:rFonts w:hint="eastAsia" w:ascii="Times New Roman" w:hAnsi="Times New Roman" w:eastAsia="方正仿宋_GBK" w:cs="Times New Roman"/>
          <w:snapToGrid/>
          <w:color w:val="auto"/>
          <w:spacing w:val="10"/>
          <w:kern w:val="2"/>
          <w:sz w:val="32"/>
          <w:szCs w:val="32"/>
          <w:highlight w:val="none"/>
          <w:lang w:eastAsia="zh-CN"/>
        </w:rPr>
        <w:t xml:space="preserve">  促进</w:t>
      </w:r>
      <w:r>
        <w:rPr>
          <w:rFonts w:ascii="Times New Roman" w:hAnsi="Times New Roman" w:eastAsia="方正仿宋_GBK" w:cs="Times New Roman"/>
          <w:snapToGrid/>
          <w:color w:val="auto"/>
          <w:spacing w:val="10"/>
          <w:kern w:val="2"/>
          <w:sz w:val="32"/>
          <w:szCs w:val="32"/>
          <w:highlight w:val="none"/>
          <w:lang w:eastAsia="zh-CN"/>
        </w:rPr>
        <w:t>知识产权优势企业</w:t>
      </w:r>
      <w:r>
        <w:rPr>
          <w:rFonts w:hint="eastAsia" w:ascii="Times New Roman" w:hAnsi="Times New Roman" w:eastAsia="方正仿宋_GBK" w:cs="Times New Roman"/>
          <w:snapToGrid/>
          <w:color w:val="auto"/>
          <w:spacing w:val="10"/>
          <w:kern w:val="2"/>
          <w:sz w:val="32"/>
          <w:szCs w:val="32"/>
          <w:highlight w:val="none"/>
          <w:lang w:eastAsia="zh-CN"/>
        </w:rPr>
        <w:t>发展。对首次认定为国家知识产权示范企业的，给予一次性最高15万元的奖励。对积极参加并通过国家知识产权示范企业复核的，最高给予5万元的奖励。对获得省级知识产权示范企业认定的，最高给予8万元奖励；对获得省级知识产权优势企业认定的，最高给予5万元奖励。对培育合格并经认定为南京市知识产权示范企业的一次性最高奖励3万元。</w:t>
      </w:r>
    </w:p>
    <w:p w14:paraId="1C604193">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snapToGrid/>
          <w:color w:val="auto"/>
          <w:spacing w:val="10"/>
          <w:kern w:val="2"/>
          <w:sz w:val="32"/>
          <w:szCs w:val="32"/>
          <w:highlight w:val="none"/>
          <w:lang w:val="en-US" w:eastAsia="zh-CN"/>
        </w:rPr>
      </w:pPr>
      <w:r>
        <w:rPr>
          <w:rFonts w:hint="eastAsia" w:ascii="方正黑体_GBK" w:hAnsi="方正黑体_GBK" w:eastAsia="方正黑体_GBK" w:cs="方正黑体_GBK"/>
          <w:snapToGrid/>
          <w:color w:val="auto"/>
          <w:spacing w:val="10"/>
          <w:kern w:val="2"/>
          <w:sz w:val="32"/>
          <w:szCs w:val="32"/>
          <w:highlight w:val="none"/>
          <w:lang w:eastAsia="zh-CN"/>
        </w:rPr>
        <w:t>第七条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提高</w:t>
      </w:r>
      <w:r>
        <w:rPr>
          <w:rFonts w:hint="eastAsia" w:ascii="Times New Roman" w:hAnsi="Times New Roman" w:eastAsia="方正仿宋_GBK" w:cs="Times New Roman"/>
          <w:snapToGrid/>
          <w:color w:val="auto"/>
          <w:spacing w:val="10"/>
          <w:kern w:val="2"/>
          <w:sz w:val="32"/>
          <w:szCs w:val="32"/>
          <w:highlight w:val="none"/>
          <w:lang w:eastAsia="zh-CN"/>
        </w:rPr>
        <w:t>企业</w:t>
      </w:r>
      <w:r>
        <w:rPr>
          <w:rFonts w:ascii="Times New Roman" w:hAnsi="Times New Roman" w:eastAsia="方正仿宋_GBK" w:cs="Times New Roman"/>
          <w:snapToGrid/>
          <w:color w:val="auto"/>
          <w:spacing w:val="10"/>
          <w:kern w:val="2"/>
          <w:sz w:val="32"/>
          <w:szCs w:val="32"/>
          <w:highlight w:val="none"/>
          <w:lang w:eastAsia="zh-CN"/>
        </w:rPr>
        <w:t>知识产权建设水平。鼓励企业贯彻《企业知识产权管理规范》（GB/T</w:t>
      </w:r>
      <w:r>
        <w:rPr>
          <w:rFonts w:hint="eastAsia" w:ascii="Times New Roman" w:hAnsi="Times New Roman" w:eastAsia="方正仿宋_GBK" w:cs="Times New Roman"/>
          <w:snapToGrid/>
          <w:color w:val="auto"/>
          <w:spacing w:val="10"/>
          <w:kern w:val="2"/>
          <w:sz w:val="32"/>
          <w:szCs w:val="32"/>
          <w:highlight w:val="none"/>
          <w:lang w:val="en-US" w:eastAsia="zh-CN"/>
        </w:rPr>
        <w:t xml:space="preserve"> </w:t>
      </w:r>
      <w:r>
        <w:rPr>
          <w:rFonts w:ascii="Times New Roman" w:hAnsi="Times New Roman" w:eastAsia="方正仿宋_GBK" w:cs="Times New Roman"/>
          <w:snapToGrid/>
          <w:color w:val="auto"/>
          <w:spacing w:val="10"/>
          <w:kern w:val="2"/>
          <w:sz w:val="32"/>
          <w:szCs w:val="32"/>
          <w:highlight w:val="none"/>
          <w:lang w:eastAsia="zh-CN"/>
        </w:rPr>
        <w:t>29490</w:t>
      </w:r>
      <w:r>
        <w:rPr>
          <w:rFonts w:hint="eastAsia" w:ascii="方正仿宋_GBK" w:hAnsi="方正仿宋_GBK" w:eastAsia="方正仿宋_GBK" w:cs="方正仿宋_GBK"/>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20</w:t>
      </w:r>
      <w:r>
        <w:rPr>
          <w:rFonts w:hint="eastAsia" w:ascii="Times New Roman" w:hAnsi="Times New Roman" w:eastAsia="方正仿宋_GBK" w:cs="Times New Roman"/>
          <w:snapToGrid/>
          <w:color w:val="auto"/>
          <w:spacing w:val="10"/>
          <w:kern w:val="2"/>
          <w:sz w:val="32"/>
          <w:szCs w:val="32"/>
          <w:highlight w:val="none"/>
          <w:lang w:val="en-US" w:eastAsia="zh-CN"/>
        </w:rPr>
        <w:t>2</w:t>
      </w:r>
      <w:r>
        <w:rPr>
          <w:rFonts w:ascii="Times New Roman" w:hAnsi="Times New Roman" w:eastAsia="方正仿宋_GBK" w:cs="Times New Roman"/>
          <w:snapToGrid/>
          <w:color w:val="auto"/>
          <w:spacing w:val="10"/>
          <w:kern w:val="2"/>
          <w:sz w:val="32"/>
          <w:szCs w:val="32"/>
          <w:highlight w:val="none"/>
          <w:lang w:eastAsia="zh-CN"/>
        </w:rPr>
        <w:t>3）</w:t>
      </w:r>
      <w:r>
        <w:rPr>
          <w:rFonts w:hint="eastAsia" w:ascii="Times New Roman" w:hAnsi="Times New Roman" w:eastAsia="方正仿宋_GBK" w:cs="Times New Roman"/>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对</w:t>
      </w:r>
      <w:r>
        <w:rPr>
          <w:rFonts w:hint="eastAsia" w:ascii="Times New Roman" w:hAnsi="Times New Roman" w:eastAsia="方正仿宋_GBK" w:cs="Times New Roman"/>
          <w:snapToGrid/>
          <w:color w:val="auto"/>
          <w:spacing w:val="10"/>
          <w:kern w:val="2"/>
          <w:sz w:val="32"/>
          <w:szCs w:val="32"/>
          <w:highlight w:val="none"/>
          <w:lang w:val="en-US" w:eastAsia="zh-CN"/>
        </w:rPr>
        <w:t>达标</w:t>
      </w:r>
      <w:r>
        <w:rPr>
          <w:rFonts w:ascii="Times New Roman" w:hAnsi="Times New Roman" w:eastAsia="方正仿宋_GBK" w:cs="Times New Roman"/>
          <w:snapToGrid/>
          <w:color w:val="auto"/>
          <w:spacing w:val="10"/>
          <w:kern w:val="2"/>
          <w:sz w:val="32"/>
          <w:szCs w:val="32"/>
          <w:highlight w:val="none"/>
          <w:lang w:eastAsia="zh-CN"/>
        </w:rPr>
        <w:t>的企业，给予一次性最高</w:t>
      </w:r>
      <w:r>
        <w:rPr>
          <w:rFonts w:hint="eastAsia" w:ascii="Times New Roman" w:hAnsi="Times New Roman" w:eastAsia="方正仿宋_GBK" w:cs="Times New Roman"/>
          <w:snapToGrid/>
          <w:color w:val="auto"/>
          <w:spacing w:val="10"/>
          <w:kern w:val="2"/>
          <w:sz w:val="32"/>
          <w:szCs w:val="32"/>
          <w:highlight w:val="none"/>
          <w:lang w:val="en-US" w:eastAsia="zh-CN"/>
        </w:rPr>
        <w:t>2</w:t>
      </w:r>
      <w:r>
        <w:rPr>
          <w:rFonts w:ascii="Times New Roman" w:hAnsi="Times New Roman" w:eastAsia="方正仿宋_GBK" w:cs="Times New Roman"/>
          <w:snapToGrid/>
          <w:color w:val="auto"/>
          <w:spacing w:val="10"/>
          <w:kern w:val="2"/>
          <w:sz w:val="32"/>
          <w:szCs w:val="32"/>
          <w:highlight w:val="none"/>
          <w:lang w:eastAsia="zh-CN"/>
        </w:rPr>
        <w:t>万元奖励。</w:t>
      </w:r>
      <w:r>
        <w:rPr>
          <w:rFonts w:hint="eastAsia" w:ascii="Times New Roman" w:hAnsi="Times New Roman" w:eastAsia="方正仿宋_GBK" w:cs="Times New Roman"/>
          <w:snapToGrid/>
          <w:color w:val="auto"/>
          <w:spacing w:val="10"/>
          <w:kern w:val="2"/>
          <w:sz w:val="32"/>
          <w:szCs w:val="32"/>
          <w:highlight w:val="none"/>
          <w:lang w:val="en-US" w:eastAsia="zh-CN"/>
        </w:rPr>
        <w:t xml:space="preserve"> 鼓励企业开展专利密集型产品备案认定，对首次获得国家专利密集型产品认定的产品，每件产品给予一次性最高1万元的奖励，同一单位支持不超过 3 件产品，累计支持不超过3万元。</w:t>
      </w:r>
    </w:p>
    <w:p w14:paraId="67EF6D37">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第八条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推进知识产权证券化。对通过知识产权证券化产品实现融资的单位</w:t>
      </w:r>
      <w:r>
        <w:rPr>
          <w:rFonts w:hint="eastAsia" w:ascii="Times New Roman" w:hAnsi="Times New Roman" w:eastAsia="方正仿宋_GBK" w:cs="Times New Roman"/>
          <w:snapToGrid/>
          <w:color w:val="auto"/>
          <w:spacing w:val="10"/>
          <w:kern w:val="2"/>
          <w:sz w:val="32"/>
          <w:szCs w:val="32"/>
          <w:highlight w:val="none"/>
          <w:lang w:eastAsia="zh-CN"/>
        </w:rPr>
        <w:t>，</w:t>
      </w:r>
      <w:r>
        <w:rPr>
          <w:rFonts w:ascii="Times New Roman" w:hAnsi="Times New Roman" w:eastAsia="方正仿宋_GBK" w:cs="Times New Roman"/>
          <w:snapToGrid/>
          <w:color w:val="auto"/>
          <w:spacing w:val="10"/>
          <w:kern w:val="2"/>
          <w:sz w:val="32"/>
          <w:szCs w:val="32"/>
          <w:highlight w:val="none"/>
          <w:lang w:eastAsia="zh-CN"/>
        </w:rPr>
        <w:t>给予融资额3%且最高200万元的奖励；证券发行的第二年，补助金额按融资额2%且最高150万元予以奖励；一个年度兑现奖励不超过一次，最多连续支持两年。</w:t>
      </w:r>
    </w:p>
    <w:p w14:paraId="781F656A">
      <w:pPr>
        <w:keepNext w:val="0"/>
        <w:keepLines w:val="0"/>
        <w:pageBreakBefore w:val="0"/>
        <w:widowControl w:val="0"/>
        <w:suppressLineNumbers w:val="0"/>
        <w:kinsoku/>
        <w:wordWrap/>
        <w:overflowPunct w:val="0"/>
        <w:topLinePunct w:val="0"/>
        <w:autoSpaceDE/>
        <w:autoSpaceDN/>
        <w:bidi w:val="0"/>
        <w:spacing w:line="560" w:lineRule="exact"/>
        <w:ind w:firstLine="680" w:firstLineChars="200"/>
        <w:jc w:val="both"/>
        <w:rPr>
          <w:rFonts w:hint="default" w:ascii="Times New Roman" w:hAnsi="Times New Roman" w:eastAsia="方正仿宋_GBK" w:cs="Times New Roman"/>
          <w:snapToGrid/>
          <w:color w:val="auto"/>
          <w:spacing w:val="10"/>
          <w:kern w:val="2"/>
          <w:sz w:val="32"/>
          <w:szCs w:val="32"/>
          <w:highlight w:val="none"/>
          <w:lang w:val="en-US" w:eastAsia="zh-CN"/>
        </w:rPr>
      </w:pPr>
      <w:r>
        <w:rPr>
          <w:rFonts w:hint="eastAsia" w:ascii="方正黑体_GBK" w:hAnsi="方正黑体_GBK" w:eastAsia="方正黑体_GBK" w:cs="方正黑体_GBK"/>
          <w:snapToGrid/>
          <w:color w:val="auto"/>
          <w:spacing w:val="10"/>
          <w:kern w:val="2"/>
          <w:sz w:val="32"/>
          <w:szCs w:val="32"/>
          <w:highlight w:val="none"/>
          <w:lang w:eastAsia="zh-CN"/>
        </w:rPr>
        <w:t>第九条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支持知识产权质押贷款。</w:t>
      </w:r>
      <w:r>
        <w:rPr>
          <w:rFonts w:hint="eastAsia" w:ascii="Times New Roman" w:hAnsi="Times New Roman" w:eastAsia="方正仿宋_GBK" w:cs="Times New Roman"/>
          <w:snapToGrid/>
          <w:color w:val="auto"/>
          <w:spacing w:val="10"/>
          <w:kern w:val="2"/>
          <w:sz w:val="32"/>
          <w:szCs w:val="32"/>
          <w:highlight w:val="none"/>
          <w:lang w:val="en-US" w:eastAsia="zh-CN"/>
        </w:rPr>
        <w:t>对通过质押专利、商标、数据知识产权获得金</w:t>
      </w:r>
      <w:r>
        <w:rPr>
          <w:rFonts w:hint="default" w:ascii="Times New Roman" w:hAnsi="Times New Roman" w:eastAsia="方正仿宋_GBK" w:cs="Times New Roman"/>
          <w:snapToGrid/>
          <w:color w:val="auto"/>
          <w:spacing w:val="10"/>
          <w:kern w:val="2"/>
          <w:sz w:val="32"/>
          <w:szCs w:val="32"/>
          <w:highlight w:val="none"/>
          <w:lang w:val="en-US" w:eastAsia="zh-CN"/>
        </w:rPr>
        <w:t>融机构贷款的企业，在贷款周期结束后</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最高按实际放贷金额的</w:t>
      </w:r>
      <w:r>
        <w:rPr>
          <w:rFonts w:hint="eastAsia" w:ascii="Times New Roman" w:hAnsi="Times New Roman" w:eastAsia="方正仿宋_GBK" w:cs="Times New Roman"/>
          <w:snapToGrid/>
          <w:color w:val="auto"/>
          <w:spacing w:val="10"/>
          <w:kern w:val="2"/>
          <w:sz w:val="32"/>
          <w:szCs w:val="32"/>
          <w:highlight w:val="none"/>
          <w:lang w:val="en-US" w:eastAsia="zh-CN"/>
        </w:rPr>
        <w:t>5</w:t>
      </w:r>
      <w:r>
        <w:rPr>
          <w:rFonts w:hint="default" w:ascii="Times New Roman" w:hAnsi="Times New Roman" w:eastAsia="方正仿宋_GBK" w:cs="Times New Roman"/>
          <w:snapToGrid/>
          <w:color w:val="auto"/>
          <w:spacing w:val="10"/>
          <w:kern w:val="2"/>
          <w:sz w:val="32"/>
          <w:szCs w:val="32"/>
          <w:highlight w:val="none"/>
          <w:lang w:val="en-US" w:eastAsia="zh-CN"/>
        </w:rPr>
        <w:t>‰给予补助。以组合方式贷款的，只计算知识产权质押融资部分</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无法区分的不予</w:t>
      </w:r>
      <w:r>
        <w:rPr>
          <w:rFonts w:hint="eastAsia" w:ascii="Times New Roman" w:hAnsi="Times New Roman" w:eastAsia="方正仿宋_GBK" w:cs="Times New Roman"/>
          <w:snapToGrid/>
          <w:color w:val="auto"/>
          <w:spacing w:val="10"/>
          <w:kern w:val="2"/>
          <w:sz w:val="32"/>
          <w:szCs w:val="32"/>
          <w:highlight w:val="none"/>
          <w:lang w:val="en-US" w:eastAsia="zh-CN"/>
        </w:rPr>
        <w:t>资</w:t>
      </w:r>
      <w:r>
        <w:rPr>
          <w:rFonts w:hint="default" w:ascii="Times New Roman" w:hAnsi="Times New Roman" w:eastAsia="方正仿宋_GBK" w:cs="Times New Roman"/>
          <w:snapToGrid/>
          <w:color w:val="auto"/>
          <w:spacing w:val="10"/>
          <w:kern w:val="2"/>
          <w:sz w:val="32"/>
          <w:szCs w:val="32"/>
          <w:highlight w:val="none"/>
          <w:lang w:val="en-US" w:eastAsia="zh-CN"/>
        </w:rPr>
        <w:t>助。同一单位每年补助总额不超过</w:t>
      </w:r>
      <w:r>
        <w:rPr>
          <w:rFonts w:hint="eastAsia" w:ascii="Times New Roman" w:hAnsi="Times New Roman" w:eastAsia="方正仿宋_GBK" w:cs="Times New Roman"/>
          <w:snapToGrid/>
          <w:color w:val="auto"/>
          <w:spacing w:val="10"/>
          <w:kern w:val="2"/>
          <w:sz w:val="32"/>
          <w:szCs w:val="32"/>
          <w:highlight w:val="none"/>
          <w:lang w:val="en-US" w:eastAsia="zh-CN"/>
        </w:rPr>
        <w:t>4</w:t>
      </w:r>
      <w:r>
        <w:rPr>
          <w:rFonts w:hint="default" w:ascii="Times New Roman" w:hAnsi="Times New Roman" w:eastAsia="方正仿宋_GBK" w:cs="Times New Roman"/>
          <w:snapToGrid/>
          <w:color w:val="auto"/>
          <w:spacing w:val="10"/>
          <w:kern w:val="2"/>
          <w:sz w:val="32"/>
          <w:szCs w:val="32"/>
          <w:highlight w:val="none"/>
          <w:lang w:val="en-US" w:eastAsia="zh-CN"/>
        </w:rPr>
        <w:t>万元</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与其他贷款贴息政策不重复享受。</w:t>
      </w:r>
    </w:p>
    <w:p w14:paraId="236B10F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default" w:ascii="Times New Roman" w:hAnsi="Times New Roman" w:eastAsia="方正仿宋_GBK" w:cs="Times New Roman"/>
          <w:snapToGrid/>
          <w:color w:val="auto"/>
          <w:spacing w:val="10"/>
          <w:kern w:val="2"/>
          <w:sz w:val="32"/>
          <w:szCs w:val="32"/>
          <w:highlight w:val="none"/>
          <w:lang w:val="en-US" w:eastAsia="zh-CN"/>
        </w:rPr>
      </w:pPr>
      <w:r>
        <w:rPr>
          <w:rFonts w:hint="eastAsia" w:ascii="方正黑体_GBK" w:hAnsi="方正黑体_GBK" w:eastAsia="方正黑体_GBK" w:cs="方正黑体_GBK"/>
          <w:snapToGrid/>
          <w:color w:val="auto"/>
          <w:spacing w:val="10"/>
          <w:kern w:val="2"/>
          <w:sz w:val="32"/>
          <w:szCs w:val="32"/>
          <w:highlight w:val="none"/>
          <w:lang w:val="en-US" w:eastAsia="zh-CN"/>
        </w:rPr>
        <w:t>第十条</w:t>
      </w:r>
      <w:r>
        <w:rPr>
          <w:rFonts w:hint="eastAsia" w:ascii="Times New Roman" w:hAnsi="Times New Roman" w:eastAsia="方正仿宋_GBK" w:cs="Times New Roman"/>
          <w:snapToGrid/>
          <w:color w:val="auto"/>
          <w:spacing w:val="10"/>
          <w:kern w:val="2"/>
          <w:sz w:val="32"/>
          <w:szCs w:val="32"/>
          <w:highlight w:val="none"/>
          <w:lang w:val="en-US" w:eastAsia="zh-CN"/>
        </w:rPr>
        <w:t xml:space="preserve">   鼓励企业开展专利转化运用。</w:t>
      </w:r>
      <w:r>
        <w:rPr>
          <w:rFonts w:ascii="方正仿宋_GBK" w:hAnsi="方正仿宋_GBK" w:eastAsia="方正仿宋_GBK" w:cs="方正仿宋_GBK"/>
          <w:snapToGrid w:val="0"/>
          <w:color w:val="auto"/>
          <w:kern w:val="0"/>
          <w:sz w:val="31"/>
          <w:szCs w:val="31"/>
          <w:highlight w:val="none"/>
          <w:lang w:val="en-US" w:eastAsia="zh-CN" w:bidi="ar"/>
        </w:rPr>
        <w:t>对非关联</w:t>
      </w:r>
      <w:r>
        <w:rPr>
          <w:rFonts w:hint="eastAsia" w:ascii="方正仿宋_GBK" w:hAnsi="方正仿宋_GBK" w:eastAsia="方正仿宋_GBK" w:cs="方正仿宋_GBK"/>
          <w:snapToGrid w:val="0"/>
          <w:color w:val="auto"/>
          <w:kern w:val="0"/>
          <w:sz w:val="31"/>
          <w:szCs w:val="31"/>
          <w:highlight w:val="none"/>
          <w:lang w:val="en-US" w:eastAsia="zh-CN" w:bidi="ar"/>
        </w:rPr>
        <w:t>企事业单位间高价值专利转让到本区，单个专利实付交易额在</w:t>
      </w:r>
      <w:r>
        <w:rPr>
          <w:rFonts w:hint="eastAsia" w:ascii="Times New Roman" w:hAnsi="Times New Roman" w:eastAsia="方正仿宋_GBK" w:cs="Times New Roman"/>
          <w:snapToGrid/>
          <w:color w:val="auto"/>
          <w:spacing w:val="10"/>
          <w:kern w:val="2"/>
          <w:sz w:val="32"/>
          <w:szCs w:val="32"/>
          <w:highlight w:val="none"/>
          <w:lang w:val="en-US" w:eastAsia="zh-CN"/>
        </w:rPr>
        <w:t>30万元</w:t>
      </w:r>
      <w:r>
        <w:rPr>
          <w:rFonts w:hint="eastAsia" w:ascii="方正仿宋_GBK" w:hAnsi="方正仿宋_GBK" w:eastAsia="方正仿宋_GBK" w:cs="方正仿宋_GBK"/>
          <w:snapToGrid w:val="0"/>
          <w:color w:val="auto"/>
          <w:kern w:val="0"/>
          <w:sz w:val="31"/>
          <w:szCs w:val="31"/>
          <w:highlight w:val="none"/>
          <w:lang w:val="en-US" w:eastAsia="zh-CN" w:bidi="ar"/>
        </w:rPr>
        <w:t>以上且实现专利技术转化获利的，按照实付交易额的</w:t>
      </w:r>
      <w:r>
        <w:rPr>
          <w:rFonts w:hint="default" w:ascii="Times New Roman" w:hAnsi="Times New Roman" w:eastAsia="宋体" w:cs="Times New Roman"/>
          <w:snapToGrid w:val="0"/>
          <w:color w:val="auto"/>
          <w:kern w:val="0"/>
          <w:sz w:val="31"/>
          <w:szCs w:val="31"/>
          <w:highlight w:val="none"/>
          <w:lang w:val="en-US" w:eastAsia="zh-CN" w:bidi="ar"/>
        </w:rPr>
        <w:t>10%</w:t>
      </w:r>
      <w:r>
        <w:rPr>
          <w:rFonts w:hint="eastAsia" w:ascii="方正仿宋_GBK" w:hAnsi="方正仿宋_GBK" w:eastAsia="方正仿宋_GBK" w:cs="方正仿宋_GBK"/>
          <w:snapToGrid w:val="0"/>
          <w:color w:val="auto"/>
          <w:kern w:val="0"/>
          <w:sz w:val="31"/>
          <w:szCs w:val="31"/>
          <w:highlight w:val="none"/>
          <w:lang w:val="en-US" w:eastAsia="zh-CN" w:bidi="ar"/>
        </w:rPr>
        <w:t>，给予受让方奖励，</w:t>
      </w:r>
      <w:r>
        <w:rPr>
          <w:rFonts w:hint="eastAsia" w:ascii="Times New Roman" w:hAnsi="Times New Roman" w:eastAsia="方正仿宋_GBK" w:cs="Times New Roman"/>
          <w:snapToGrid/>
          <w:color w:val="auto"/>
          <w:spacing w:val="10"/>
          <w:kern w:val="2"/>
          <w:sz w:val="32"/>
          <w:szCs w:val="32"/>
          <w:highlight w:val="none"/>
          <w:lang w:val="en-US" w:eastAsia="zh-CN"/>
        </w:rPr>
        <w:t>单个合同经费补助最高不超过 10 万元，同一单位累计补助总额不超过20万元。</w:t>
      </w:r>
    </w:p>
    <w:p w14:paraId="1671669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default" w:ascii="Times New Roman" w:hAnsi="Times New Roman" w:eastAsia="方正仿宋_GBK" w:cs="Times New Roman"/>
          <w:snapToGrid/>
          <w:color w:val="auto"/>
          <w:spacing w:val="10"/>
          <w:kern w:val="2"/>
          <w:sz w:val="32"/>
          <w:szCs w:val="32"/>
          <w:highlight w:val="none"/>
          <w:lang w:val="en-US" w:eastAsia="zh-CN"/>
        </w:rPr>
      </w:pPr>
      <w:r>
        <w:rPr>
          <w:rFonts w:hint="eastAsia" w:ascii="方正黑体_GBK" w:hAnsi="方正黑体_GBK" w:eastAsia="方正黑体_GBK" w:cs="方正黑体_GBK"/>
          <w:snapToGrid/>
          <w:color w:val="auto"/>
          <w:spacing w:val="10"/>
          <w:kern w:val="2"/>
          <w:sz w:val="32"/>
          <w:szCs w:val="32"/>
          <w:highlight w:val="none"/>
          <w:lang w:val="en-US" w:eastAsia="zh-CN"/>
        </w:rPr>
        <w:t>第十一条</w:t>
      </w:r>
      <w:r>
        <w:rPr>
          <w:rFonts w:hint="eastAsia" w:ascii="Times New Roman" w:hAnsi="Times New Roman" w:eastAsia="方正仿宋_GBK" w:cs="Times New Roman"/>
          <w:snapToGrid/>
          <w:color w:val="auto"/>
          <w:spacing w:val="10"/>
          <w:kern w:val="2"/>
          <w:sz w:val="32"/>
          <w:szCs w:val="32"/>
          <w:highlight w:val="none"/>
          <w:lang w:val="en-US" w:eastAsia="zh-CN"/>
        </w:rPr>
        <w:t xml:space="preserve">  </w:t>
      </w:r>
      <w:r>
        <w:rPr>
          <w:rFonts w:hint="default" w:ascii="Times New Roman" w:hAnsi="Times New Roman" w:eastAsia="方正仿宋_GBK" w:cs="Times New Roman"/>
          <w:snapToGrid/>
          <w:color w:val="auto"/>
          <w:spacing w:val="10"/>
          <w:kern w:val="2"/>
          <w:sz w:val="32"/>
          <w:szCs w:val="32"/>
          <w:highlight w:val="none"/>
          <w:lang w:val="en-US" w:eastAsia="zh-CN"/>
        </w:rPr>
        <w:t>支持申报上级各类项目。对承担省、市知识产权战略推进计划项目的企业，</w:t>
      </w:r>
      <w:r>
        <w:rPr>
          <w:rFonts w:hint="eastAsia" w:ascii="Times New Roman" w:hAnsi="Times New Roman" w:eastAsia="方正仿宋_GBK" w:cs="Times New Roman"/>
          <w:snapToGrid/>
          <w:color w:val="auto"/>
          <w:spacing w:val="10"/>
          <w:kern w:val="2"/>
          <w:sz w:val="32"/>
          <w:szCs w:val="32"/>
          <w:highlight w:val="none"/>
          <w:lang w:val="en-US" w:eastAsia="zh-CN"/>
        </w:rPr>
        <w:t>按照上级下拨资金50%最高不超过10万元，</w:t>
      </w:r>
      <w:r>
        <w:rPr>
          <w:rFonts w:hint="default" w:ascii="Times New Roman" w:hAnsi="Times New Roman" w:eastAsia="方正仿宋_GBK" w:cs="Times New Roman"/>
          <w:snapToGrid/>
          <w:color w:val="auto"/>
          <w:spacing w:val="10"/>
          <w:kern w:val="2"/>
          <w:sz w:val="32"/>
          <w:szCs w:val="32"/>
          <w:highlight w:val="none"/>
          <w:lang w:val="en-US" w:eastAsia="zh-CN"/>
        </w:rPr>
        <w:t>给予</w:t>
      </w:r>
      <w:r>
        <w:rPr>
          <w:rFonts w:hint="eastAsia" w:ascii="Times New Roman" w:hAnsi="Times New Roman" w:eastAsia="方正仿宋_GBK" w:cs="Times New Roman"/>
          <w:snapToGrid/>
          <w:color w:val="auto"/>
          <w:spacing w:val="10"/>
          <w:kern w:val="2"/>
          <w:sz w:val="32"/>
          <w:szCs w:val="32"/>
          <w:highlight w:val="none"/>
          <w:lang w:val="en-US" w:eastAsia="zh-CN"/>
        </w:rPr>
        <w:t>该项目</w:t>
      </w:r>
      <w:r>
        <w:rPr>
          <w:rFonts w:hint="default" w:ascii="Times New Roman" w:hAnsi="Times New Roman" w:eastAsia="方正仿宋_GBK" w:cs="Times New Roman"/>
          <w:snapToGrid/>
          <w:color w:val="auto"/>
          <w:spacing w:val="10"/>
          <w:kern w:val="2"/>
          <w:sz w:val="32"/>
          <w:szCs w:val="32"/>
          <w:highlight w:val="none"/>
          <w:lang w:val="en-US" w:eastAsia="zh-CN"/>
        </w:rPr>
        <w:t>配套支持。对获得省、市知识产权维权援助资金的</w:t>
      </w:r>
      <w:r>
        <w:rPr>
          <w:rFonts w:hint="eastAsia" w:ascii="Times New Roman" w:hAnsi="Times New Roman" w:eastAsia="方正仿宋_GBK" w:cs="Times New Roman"/>
          <w:snapToGrid/>
          <w:color w:val="auto"/>
          <w:spacing w:val="10"/>
          <w:kern w:val="2"/>
          <w:sz w:val="32"/>
          <w:szCs w:val="32"/>
          <w:highlight w:val="none"/>
          <w:lang w:val="en-US" w:eastAsia="zh-CN"/>
        </w:rPr>
        <w:t>企事业单位</w:t>
      </w:r>
      <w:r>
        <w:rPr>
          <w:rFonts w:hint="default" w:ascii="Times New Roman" w:hAnsi="Times New Roman" w:eastAsia="方正仿宋_GBK" w:cs="Times New Roman"/>
          <w:snapToGrid/>
          <w:color w:val="auto"/>
          <w:spacing w:val="10"/>
          <w:kern w:val="2"/>
          <w:sz w:val="32"/>
          <w:szCs w:val="32"/>
          <w:highlight w:val="none"/>
          <w:lang w:val="en-US" w:eastAsia="zh-CN"/>
        </w:rPr>
        <w:t>，</w:t>
      </w:r>
      <w:r>
        <w:rPr>
          <w:rFonts w:hint="eastAsia" w:ascii="Times New Roman" w:hAnsi="Times New Roman" w:eastAsia="方正仿宋_GBK" w:cs="Times New Roman"/>
          <w:snapToGrid/>
          <w:color w:val="auto"/>
          <w:spacing w:val="10"/>
          <w:kern w:val="2"/>
          <w:sz w:val="32"/>
          <w:szCs w:val="32"/>
          <w:highlight w:val="none"/>
          <w:lang w:val="en-US" w:eastAsia="zh-CN"/>
        </w:rPr>
        <w:t>按照上级下拨资金50%</w:t>
      </w:r>
      <w:r>
        <w:rPr>
          <w:rFonts w:hint="default" w:ascii="Times New Roman" w:hAnsi="Times New Roman" w:eastAsia="方正仿宋_GBK" w:cs="Times New Roman"/>
          <w:snapToGrid/>
          <w:color w:val="auto"/>
          <w:spacing w:val="10"/>
          <w:kern w:val="2"/>
          <w:sz w:val="32"/>
          <w:szCs w:val="32"/>
          <w:highlight w:val="none"/>
          <w:lang w:val="en-US" w:eastAsia="zh-CN"/>
        </w:rPr>
        <w:t>最高不超过10万元</w:t>
      </w:r>
      <w:r>
        <w:rPr>
          <w:rFonts w:hint="eastAsia" w:ascii="Times New Roman" w:hAnsi="Times New Roman" w:eastAsia="方正仿宋_GBK" w:cs="Times New Roman"/>
          <w:snapToGrid/>
          <w:color w:val="auto"/>
          <w:spacing w:val="10"/>
          <w:kern w:val="2"/>
          <w:sz w:val="32"/>
          <w:szCs w:val="32"/>
          <w:highlight w:val="none"/>
          <w:lang w:val="en-US" w:eastAsia="zh-CN"/>
        </w:rPr>
        <w:t>，给予该项目配套支持</w:t>
      </w:r>
      <w:r>
        <w:rPr>
          <w:rFonts w:hint="default" w:ascii="Times New Roman" w:hAnsi="Times New Roman" w:eastAsia="方正仿宋_GBK" w:cs="Times New Roman"/>
          <w:snapToGrid/>
          <w:color w:val="auto"/>
          <w:spacing w:val="10"/>
          <w:kern w:val="2"/>
          <w:sz w:val="32"/>
          <w:szCs w:val="32"/>
          <w:highlight w:val="none"/>
          <w:lang w:val="en-US" w:eastAsia="zh-CN"/>
        </w:rPr>
        <w:t>。</w:t>
      </w:r>
    </w:p>
    <w:p w14:paraId="10CDB19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default" w:ascii="Times New Roman" w:hAnsi="Times New Roman" w:eastAsia="方正仿宋_GBK" w:cs="Times New Roman"/>
          <w:snapToGrid/>
          <w:color w:val="auto"/>
          <w:spacing w:val="10"/>
          <w:kern w:val="2"/>
          <w:sz w:val="32"/>
          <w:szCs w:val="32"/>
          <w:highlight w:val="none"/>
          <w:lang w:val="en-US" w:eastAsia="zh-CN"/>
        </w:rPr>
      </w:pPr>
      <w:r>
        <w:rPr>
          <w:rFonts w:hint="default" w:ascii="方正黑体_GBK" w:hAnsi="方正黑体_GBK" w:eastAsia="方正黑体_GBK" w:cs="方正黑体_GBK"/>
          <w:snapToGrid/>
          <w:color w:val="auto"/>
          <w:spacing w:val="10"/>
          <w:kern w:val="2"/>
          <w:sz w:val="32"/>
          <w:szCs w:val="32"/>
          <w:highlight w:val="none"/>
          <w:lang w:val="en-US"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二</w:t>
      </w:r>
      <w:r>
        <w:rPr>
          <w:rFonts w:hint="default" w:ascii="方正黑体_GBK" w:hAnsi="方正黑体_GBK" w:eastAsia="方正黑体_GBK" w:cs="方正黑体_GBK"/>
          <w:snapToGrid/>
          <w:color w:val="auto"/>
          <w:spacing w:val="10"/>
          <w:kern w:val="2"/>
          <w:sz w:val="32"/>
          <w:szCs w:val="32"/>
          <w:highlight w:val="none"/>
          <w:lang w:val="en-US" w:eastAsia="zh-CN"/>
        </w:rPr>
        <w:t>条</w:t>
      </w:r>
      <w:r>
        <w:rPr>
          <w:rFonts w:hint="default" w:ascii="Times New Roman" w:hAnsi="Times New Roman" w:eastAsia="方正仿宋_GBK" w:cs="Times New Roman"/>
          <w:snapToGrid/>
          <w:color w:val="auto"/>
          <w:spacing w:val="10"/>
          <w:kern w:val="2"/>
          <w:sz w:val="32"/>
          <w:szCs w:val="32"/>
          <w:highlight w:val="none"/>
          <w:lang w:val="en-US" w:eastAsia="zh-CN"/>
        </w:rPr>
        <w:t xml:space="preserve">  加大</w:t>
      </w:r>
      <w:r>
        <w:rPr>
          <w:rFonts w:hint="eastAsia" w:ascii="方正仿宋_GBK" w:hAnsi="方正仿宋_GBK" w:eastAsia="方正仿宋_GBK" w:cs="方正仿宋_GBK"/>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正版正货</w:t>
      </w:r>
      <w:r>
        <w:rPr>
          <w:rFonts w:hint="eastAsia" w:ascii="方正仿宋_GBK" w:hAnsi="方正仿宋_GBK" w:eastAsia="方正仿宋_GBK" w:cs="方正仿宋_GBK"/>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建设投入。对被认定为国家知识产权保护规范化培育市场并启动培育工作的运营主体单位，给予最高20万元奖励；对获</w:t>
      </w:r>
      <w:r>
        <w:rPr>
          <w:rFonts w:hint="eastAsia" w:ascii="Times New Roman" w:hAnsi="Times New Roman" w:eastAsia="方正仿宋_GBK" w:cs="Times New Roman"/>
          <w:snapToGrid/>
          <w:color w:val="auto"/>
          <w:spacing w:val="10"/>
          <w:kern w:val="2"/>
          <w:sz w:val="32"/>
          <w:szCs w:val="32"/>
          <w:highlight w:val="none"/>
          <w:lang w:val="en-US" w:eastAsia="zh-CN"/>
        </w:rPr>
        <w:t>评</w:t>
      </w:r>
      <w:r>
        <w:rPr>
          <w:rFonts w:hint="default" w:ascii="Times New Roman" w:hAnsi="Times New Roman" w:eastAsia="方正仿宋_GBK" w:cs="Times New Roman"/>
          <w:snapToGrid/>
          <w:color w:val="auto"/>
          <w:spacing w:val="10"/>
          <w:kern w:val="2"/>
          <w:sz w:val="32"/>
          <w:szCs w:val="32"/>
          <w:highlight w:val="none"/>
          <w:lang w:val="en-US" w:eastAsia="zh-CN"/>
        </w:rPr>
        <w:t>省</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正版正货</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示范项目的示范街区、示范行业的运营单位，给予最高10万元奖励，对获评省</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正版正货</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承诺企业的，给予最高</w:t>
      </w:r>
      <w:r>
        <w:rPr>
          <w:rFonts w:hint="eastAsia" w:ascii="Times New Roman" w:hAnsi="Times New Roman" w:eastAsia="方正仿宋_GBK" w:cs="Times New Roman"/>
          <w:snapToGrid/>
          <w:color w:val="auto"/>
          <w:spacing w:val="10"/>
          <w:kern w:val="2"/>
          <w:sz w:val="32"/>
          <w:szCs w:val="32"/>
          <w:highlight w:val="none"/>
          <w:lang w:val="en-US" w:eastAsia="zh-CN"/>
        </w:rPr>
        <w:t>2</w:t>
      </w:r>
      <w:r>
        <w:rPr>
          <w:rFonts w:hint="default" w:ascii="Times New Roman" w:hAnsi="Times New Roman" w:eastAsia="方正仿宋_GBK" w:cs="Times New Roman"/>
          <w:snapToGrid/>
          <w:color w:val="auto"/>
          <w:spacing w:val="10"/>
          <w:kern w:val="2"/>
          <w:sz w:val="32"/>
          <w:szCs w:val="32"/>
          <w:highlight w:val="none"/>
          <w:lang w:val="en-US" w:eastAsia="zh-CN"/>
        </w:rPr>
        <w:t>万元奖励；对获得省级商标品牌培育和保护（工业品牌）项目的单位，按照省级奖补资金的50%最高不超过15万元，给予该项目配套支持。对</w:t>
      </w:r>
      <w:r>
        <w:rPr>
          <w:rFonts w:hint="eastAsia" w:ascii="Times New Roman" w:hAnsi="Times New Roman" w:eastAsia="方正仿宋_GBK" w:cs="Times New Roman"/>
          <w:snapToGrid/>
          <w:color w:val="auto"/>
          <w:spacing w:val="10"/>
          <w:kern w:val="2"/>
          <w:sz w:val="32"/>
          <w:szCs w:val="32"/>
          <w:highlight w:val="none"/>
          <w:lang w:val="en-US" w:eastAsia="zh-CN"/>
        </w:rPr>
        <w:t>获批并通过验收的省级“</w:t>
      </w:r>
      <w:r>
        <w:rPr>
          <w:rFonts w:hint="default" w:ascii="Times New Roman" w:hAnsi="Times New Roman" w:eastAsia="方正仿宋_GBK" w:cs="Times New Roman"/>
          <w:snapToGrid/>
          <w:color w:val="auto"/>
          <w:spacing w:val="10"/>
          <w:kern w:val="2"/>
          <w:sz w:val="32"/>
          <w:szCs w:val="32"/>
          <w:highlight w:val="none"/>
          <w:lang w:val="en-US" w:eastAsia="zh-CN"/>
        </w:rPr>
        <w:t>正版正货</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示范街区</w:t>
      </w:r>
      <w:r>
        <w:rPr>
          <w:rFonts w:hint="eastAsia" w:ascii="Times New Roman" w:hAnsi="Times New Roman" w:eastAsia="方正仿宋_GBK" w:cs="Times New Roman"/>
          <w:snapToGrid/>
          <w:color w:val="auto"/>
          <w:spacing w:val="10"/>
          <w:kern w:val="2"/>
          <w:sz w:val="32"/>
          <w:szCs w:val="32"/>
          <w:highlight w:val="none"/>
          <w:lang w:val="en-US" w:eastAsia="zh-CN"/>
        </w:rPr>
        <w:t>项目的</w:t>
      </w:r>
      <w:r>
        <w:rPr>
          <w:rFonts w:hint="default" w:ascii="Times New Roman" w:hAnsi="Times New Roman" w:eastAsia="方正仿宋_GBK" w:cs="Times New Roman"/>
          <w:snapToGrid/>
          <w:color w:val="auto"/>
          <w:spacing w:val="10"/>
          <w:kern w:val="2"/>
          <w:sz w:val="32"/>
          <w:szCs w:val="32"/>
          <w:highlight w:val="none"/>
          <w:lang w:val="en-US" w:eastAsia="zh-CN"/>
        </w:rPr>
        <w:t>管理单位给予每年最高奖励2万元</w:t>
      </w:r>
      <w:bookmarkStart w:id="0" w:name="_GoBack"/>
      <w:r>
        <w:rPr>
          <w:rFonts w:hint="eastAsia" w:ascii="Times New Roman" w:hAnsi="Times New Roman" w:eastAsia="方正仿宋_GBK" w:cs="Times New Roman"/>
          <w:snapToGrid/>
          <w:color w:val="auto"/>
          <w:spacing w:val="10"/>
          <w:kern w:val="2"/>
          <w:sz w:val="32"/>
          <w:szCs w:val="32"/>
          <w:highlight w:val="none"/>
          <w:lang w:val="en-US" w:eastAsia="zh-CN"/>
        </w:rPr>
        <w:t>；</w:t>
      </w:r>
      <w:bookmarkEnd w:id="0"/>
      <w:r>
        <w:rPr>
          <w:rFonts w:hint="default" w:ascii="Times New Roman" w:hAnsi="Times New Roman" w:eastAsia="方正仿宋_GBK" w:cs="Times New Roman"/>
          <w:snapToGrid/>
          <w:color w:val="auto"/>
          <w:spacing w:val="10"/>
          <w:kern w:val="2"/>
          <w:sz w:val="32"/>
          <w:szCs w:val="32"/>
          <w:highlight w:val="none"/>
          <w:lang w:val="en-US" w:eastAsia="zh-CN"/>
        </w:rPr>
        <w:t>市</w:t>
      </w:r>
      <w:r>
        <w:rPr>
          <w:rFonts w:hint="eastAsia" w:ascii="Times New Roman" w:hAnsi="Times New Roman" w:eastAsia="方正仿宋_GBK" w:cs="Times New Roman"/>
          <w:snapToGrid/>
          <w:color w:val="auto"/>
          <w:spacing w:val="10"/>
          <w:kern w:val="2"/>
          <w:sz w:val="32"/>
          <w:szCs w:val="32"/>
          <w:highlight w:val="none"/>
          <w:lang w:val="en-US" w:eastAsia="zh-CN"/>
        </w:rPr>
        <w:t>级“</w:t>
      </w:r>
      <w:r>
        <w:rPr>
          <w:rFonts w:hint="default" w:ascii="Times New Roman" w:hAnsi="Times New Roman" w:eastAsia="方正仿宋_GBK" w:cs="Times New Roman"/>
          <w:snapToGrid/>
          <w:color w:val="auto"/>
          <w:spacing w:val="10"/>
          <w:kern w:val="2"/>
          <w:sz w:val="32"/>
          <w:szCs w:val="32"/>
          <w:highlight w:val="none"/>
          <w:lang w:val="en-US" w:eastAsia="zh-CN"/>
        </w:rPr>
        <w:t>正版正货</w:t>
      </w:r>
      <w:r>
        <w:rPr>
          <w:rFonts w:hint="eastAsia" w:ascii="Times New Roman" w:hAnsi="Times New Roman" w:eastAsia="方正仿宋_GBK" w:cs="Times New Roman"/>
          <w:snapToGrid/>
          <w:color w:val="auto"/>
          <w:spacing w:val="10"/>
          <w:kern w:val="2"/>
          <w:sz w:val="32"/>
          <w:szCs w:val="32"/>
          <w:highlight w:val="none"/>
          <w:lang w:val="en-US" w:eastAsia="zh-CN"/>
        </w:rPr>
        <w:t>”</w:t>
      </w:r>
      <w:r>
        <w:rPr>
          <w:rFonts w:hint="default" w:ascii="Times New Roman" w:hAnsi="Times New Roman" w:eastAsia="方正仿宋_GBK" w:cs="Times New Roman"/>
          <w:snapToGrid/>
          <w:color w:val="auto"/>
          <w:spacing w:val="10"/>
          <w:kern w:val="2"/>
          <w:sz w:val="32"/>
          <w:szCs w:val="32"/>
          <w:highlight w:val="none"/>
          <w:lang w:val="en-US" w:eastAsia="zh-CN"/>
        </w:rPr>
        <w:t>示范街区</w:t>
      </w:r>
      <w:r>
        <w:rPr>
          <w:rFonts w:hint="eastAsia" w:ascii="Times New Roman" w:hAnsi="Times New Roman" w:eastAsia="方正仿宋_GBK" w:cs="Times New Roman"/>
          <w:snapToGrid/>
          <w:color w:val="auto"/>
          <w:spacing w:val="10"/>
          <w:kern w:val="2"/>
          <w:sz w:val="32"/>
          <w:szCs w:val="32"/>
          <w:highlight w:val="none"/>
          <w:lang w:val="en-US" w:eastAsia="zh-CN"/>
        </w:rPr>
        <w:t>项目的</w:t>
      </w:r>
      <w:r>
        <w:rPr>
          <w:rFonts w:hint="default" w:ascii="Times New Roman" w:hAnsi="Times New Roman" w:eastAsia="方正仿宋_GBK" w:cs="Times New Roman"/>
          <w:snapToGrid/>
          <w:color w:val="auto"/>
          <w:spacing w:val="10"/>
          <w:kern w:val="2"/>
          <w:sz w:val="32"/>
          <w:szCs w:val="32"/>
          <w:highlight w:val="none"/>
          <w:lang w:val="en-US" w:eastAsia="zh-CN"/>
        </w:rPr>
        <w:t>管理单位给予</w:t>
      </w:r>
      <w:r>
        <w:rPr>
          <w:rFonts w:hint="eastAsia" w:ascii="Times New Roman" w:hAnsi="Times New Roman" w:eastAsia="方正仿宋_GBK" w:cs="Times New Roman"/>
          <w:snapToGrid/>
          <w:color w:val="auto"/>
          <w:spacing w:val="10"/>
          <w:kern w:val="2"/>
          <w:sz w:val="32"/>
          <w:szCs w:val="32"/>
          <w:highlight w:val="none"/>
          <w:lang w:val="en-US" w:eastAsia="zh-CN"/>
        </w:rPr>
        <w:t>一次性</w:t>
      </w:r>
      <w:r>
        <w:rPr>
          <w:rFonts w:hint="default" w:ascii="Times New Roman" w:hAnsi="Times New Roman" w:eastAsia="方正仿宋_GBK" w:cs="Times New Roman"/>
          <w:snapToGrid/>
          <w:color w:val="auto"/>
          <w:spacing w:val="10"/>
          <w:kern w:val="2"/>
          <w:sz w:val="32"/>
          <w:szCs w:val="32"/>
          <w:highlight w:val="none"/>
          <w:lang w:val="en-US" w:eastAsia="zh-CN"/>
        </w:rPr>
        <w:t>奖励2万元。</w:t>
      </w:r>
    </w:p>
    <w:p w14:paraId="14E5116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snapToGrid/>
          <w:color w:val="auto"/>
          <w:spacing w:val="10"/>
          <w:kern w:val="2"/>
          <w:sz w:val="32"/>
          <w:szCs w:val="32"/>
          <w:highlight w:val="none"/>
          <w:lang w:val="en-US" w:eastAsia="zh-CN"/>
        </w:rPr>
      </w:pPr>
      <w:r>
        <w:rPr>
          <w:rFonts w:hint="default" w:ascii="方正黑体_GBK" w:hAnsi="方正黑体_GBK" w:eastAsia="方正黑体_GBK" w:cs="方正黑体_GBK"/>
          <w:snapToGrid/>
          <w:color w:val="auto"/>
          <w:spacing w:val="10"/>
          <w:kern w:val="2"/>
          <w:sz w:val="32"/>
          <w:szCs w:val="32"/>
          <w:highlight w:val="none"/>
          <w:lang w:val="en-US"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三</w:t>
      </w:r>
      <w:r>
        <w:rPr>
          <w:rFonts w:hint="default" w:ascii="方正黑体_GBK" w:hAnsi="方正黑体_GBK" w:eastAsia="方正黑体_GBK" w:cs="方正黑体_GBK"/>
          <w:snapToGrid/>
          <w:color w:val="auto"/>
          <w:spacing w:val="10"/>
          <w:kern w:val="2"/>
          <w:sz w:val="32"/>
          <w:szCs w:val="32"/>
          <w:highlight w:val="none"/>
          <w:lang w:val="en-US" w:eastAsia="zh-CN"/>
        </w:rPr>
        <w:t>条</w:t>
      </w:r>
      <w:r>
        <w:rPr>
          <w:rFonts w:hint="eastAsia" w:ascii="Times New Roman" w:hAnsi="Times New Roman" w:eastAsia="方正仿宋_GBK" w:cs="Times New Roman"/>
          <w:snapToGrid/>
          <w:color w:val="auto"/>
          <w:spacing w:val="10"/>
          <w:kern w:val="2"/>
          <w:sz w:val="32"/>
          <w:szCs w:val="32"/>
          <w:highlight w:val="none"/>
          <w:lang w:val="en-US" w:eastAsia="zh-CN"/>
        </w:rPr>
        <w:t xml:space="preserve">  </w:t>
      </w:r>
      <w:r>
        <w:rPr>
          <w:rFonts w:hint="default" w:ascii="Times New Roman" w:hAnsi="Times New Roman" w:eastAsia="方正仿宋_GBK" w:cs="Times New Roman"/>
          <w:snapToGrid/>
          <w:color w:val="auto"/>
          <w:spacing w:val="10"/>
          <w:kern w:val="2"/>
          <w:sz w:val="32"/>
          <w:szCs w:val="32"/>
          <w:highlight w:val="none"/>
          <w:lang w:val="en-US" w:eastAsia="zh-CN"/>
        </w:rPr>
        <w:t>重视企业知识产权人才培养。对当年获得知识产权内审员证书的个人，给予0.1万元的一次性奖励；对当年获得知识产权中级、高级知识产权师职称的个人，分别给予0.3万元、1万元的一次性奖励；对评定为省级以上知识产权领军人才、骨干人才的，分别给予个人5万元、2万元的一次性奖励；对获得专利代理师执业资格的知识产权工作人员，给予个人1万元一次性奖励</w:t>
      </w:r>
      <w:r>
        <w:rPr>
          <w:rFonts w:hint="eastAsia" w:ascii="Times New Roman" w:hAnsi="Times New Roman" w:eastAsia="方正仿宋_GBK" w:cs="Times New Roman"/>
          <w:snapToGrid/>
          <w:color w:val="auto"/>
          <w:spacing w:val="10"/>
          <w:kern w:val="2"/>
          <w:sz w:val="32"/>
          <w:szCs w:val="32"/>
          <w:highlight w:val="none"/>
          <w:lang w:val="en-US" w:eastAsia="zh-CN"/>
        </w:rPr>
        <w:t>。</w:t>
      </w:r>
    </w:p>
    <w:p w14:paraId="2062EF3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snapToGrid/>
          <w:color w:val="auto"/>
          <w:spacing w:val="10"/>
          <w:kern w:val="2"/>
          <w:sz w:val="32"/>
          <w:szCs w:val="32"/>
          <w:highlight w:val="none"/>
          <w:lang w:val="en-US" w:eastAsia="zh-CN"/>
        </w:rPr>
      </w:pPr>
      <w:r>
        <w:rPr>
          <w:rFonts w:hint="eastAsia" w:ascii="Times New Roman" w:hAnsi="Times New Roman" w:eastAsia="方正仿宋_GBK" w:cs="Times New Roman"/>
          <w:snapToGrid/>
          <w:color w:val="auto"/>
          <w:spacing w:val="10"/>
          <w:kern w:val="2"/>
          <w:sz w:val="32"/>
          <w:szCs w:val="32"/>
          <w:highlight w:val="none"/>
          <w:lang w:val="en-US" w:eastAsia="zh-CN"/>
        </w:rPr>
        <w:t xml:space="preserve"> 前款奖励对象不包含专利代理、商标代理、律师事务所等知识产权服务机构从业人员。</w:t>
      </w:r>
    </w:p>
    <w:p w14:paraId="5779F56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snapToGrid/>
          <w:color w:val="auto"/>
          <w:spacing w:val="10"/>
          <w:kern w:val="2"/>
          <w:sz w:val="32"/>
          <w:szCs w:val="32"/>
          <w:highlight w:val="none"/>
          <w:lang w:val="en-US" w:eastAsia="zh-CN"/>
        </w:rPr>
      </w:pPr>
      <w:r>
        <w:rPr>
          <w:rFonts w:hint="default" w:ascii="方正黑体_GBK" w:hAnsi="方正黑体_GBK" w:eastAsia="方正黑体_GBK" w:cs="方正黑体_GBK"/>
          <w:snapToGrid/>
          <w:color w:val="auto"/>
          <w:spacing w:val="10"/>
          <w:kern w:val="2"/>
          <w:sz w:val="32"/>
          <w:szCs w:val="32"/>
          <w:highlight w:val="none"/>
          <w:lang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四</w:t>
      </w:r>
      <w:r>
        <w:rPr>
          <w:rFonts w:hint="default" w:ascii="方正黑体_GBK" w:hAnsi="方正黑体_GBK" w:eastAsia="方正黑体_GBK" w:cs="方正黑体_GBK"/>
          <w:snapToGrid/>
          <w:color w:val="auto"/>
          <w:spacing w:val="10"/>
          <w:kern w:val="2"/>
          <w:sz w:val="32"/>
          <w:szCs w:val="32"/>
          <w:highlight w:val="none"/>
          <w:lang w:eastAsia="zh-CN"/>
        </w:rPr>
        <w:t>条</w:t>
      </w:r>
      <w:r>
        <w:rPr>
          <w:rFonts w:hint="default" w:ascii="Times New Roman" w:hAnsi="Times New Roman" w:eastAsia="方正仿宋_GBK" w:cs="Times New Roman"/>
          <w:spacing w:val="9"/>
          <w:sz w:val="32"/>
          <w:szCs w:val="32"/>
          <w:lang w:val="en-US" w:eastAsia="zh-CN"/>
        </w:rPr>
        <w:t xml:space="preserve">  </w:t>
      </w:r>
      <w:r>
        <w:rPr>
          <w:rFonts w:hint="default" w:ascii="Times New Roman" w:hAnsi="Times New Roman" w:eastAsia="方正仿宋_GBK" w:cs="Times New Roman"/>
          <w:spacing w:val="9"/>
          <w:sz w:val="32"/>
          <w:szCs w:val="32"/>
        </w:rPr>
        <w:t>主导制定国际标准的，每项标准给予不超过50万元的资助；主导修订国际标准的，每项标准给予不超过30万元的资助；主导制定国家标准的，每项标准给予不超过30万元的资助；主导修订国家标准的，每项标准给予不超过20万元的资助；对新获准承担ISO、IEC标准化技术委员会、分技术委员会秘书处的，分别给予不超过50万元、30万元资助；对新获准承担全国专业标准化技术委员会、分技术委员会、省市标准化技术委员会秘书处的，分别给予不超过30万元、20万元、10万元资助；由标准化行政主管部门下达，通过验收且验收成绩优秀的标准化试点项目，按国家级、省级项目分别给予不超过20万元、10万元的资助。</w:t>
      </w:r>
    </w:p>
    <w:p w14:paraId="0F78584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default" w:ascii="方正黑体_GBK" w:hAnsi="方正黑体_GBK" w:eastAsia="方正黑体_GBK" w:cs="方正黑体_GBK"/>
          <w:snapToGrid/>
          <w:color w:val="auto"/>
          <w:spacing w:val="10"/>
          <w:kern w:val="2"/>
          <w:sz w:val="32"/>
          <w:szCs w:val="32"/>
          <w:highlight w:val="none"/>
          <w:lang w:val="en-US"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五</w:t>
      </w:r>
      <w:r>
        <w:rPr>
          <w:rFonts w:hint="default" w:ascii="方正黑体_GBK" w:hAnsi="方正黑体_GBK" w:eastAsia="方正黑体_GBK" w:cs="方正黑体_GBK"/>
          <w:snapToGrid/>
          <w:color w:val="auto"/>
          <w:spacing w:val="10"/>
          <w:kern w:val="2"/>
          <w:sz w:val="32"/>
          <w:szCs w:val="32"/>
          <w:highlight w:val="none"/>
          <w:lang w:val="en-US" w:eastAsia="zh-CN"/>
        </w:rPr>
        <w:t>条</w:t>
      </w:r>
      <w:r>
        <w:rPr>
          <w:rFonts w:hint="eastAsia" w:ascii="Times New Roman" w:hAnsi="Times New Roman" w:eastAsia="方正仿宋_GBK" w:cs="Times New Roman"/>
          <w:snapToGrid/>
          <w:color w:val="auto"/>
          <w:spacing w:val="10"/>
          <w:kern w:val="2"/>
          <w:sz w:val="32"/>
          <w:szCs w:val="32"/>
          <w:highlight w:val="none"/>
          <w:lang w:val="en-US" w:eastAsia="zh-CN"/>
        </w:rPr>
        <w:t xml:space="preserve">  </w:t>
      </w:r>
      <w:r>
        <w:rPr>
          <w:rFonts w:ascii="Times New Roman" w:hAnsi="Times New Roman" w:eastAsia="方正仿宋_GBK" w:cs="Times New Roman"/>
          <w:snapToGrid/>
          <w:color w:val="auto"/>
          <w:spacing w:val="10"/>
          <w:kern w:val="2"/>
          <w:sz w:val="32"/>
          <w:szCs w:val="32"/>
          <w:highlight w:val="none"/>
          <w:lang w:eastAsia="zh-CN"/>
        </w:rPr>
        <w:t>申请本办法中的资助与奖励时，有国家、省、市业务部门具体通知或批文的，应提供通知或批文作为依据，其他按区市场监督管理局（知识产权局）通知要求提供相应的申报材料。同一项目获得多级、多项奖励的，按就高不重复原则实施奖励。本办法所称资助、奖励或经费支持等，每年度受理一次，于次年兑现上年度项目，项目申报要求、受理日期等以具体通知为准，逾期不予受理。</w:t>
      </w:r>
    </w:p>
    <w:p w14:paraId="5F7ED88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default" w:ascii="方正黑体_GBK" w:hAnsi="方正黑体_GBK" w:eastAsia="方正黑体_GBK" w:cs="方正黑体_GBK"/>
          <w:snapToGrid/>
          <w:color w:val="auto"/>
          <w:spacing w:val="10"/>
          <w:kern w:val="2"/>
          <w:sz w:val="32"/>
          <w:szCs w:val="32"/>
          <w:highlight w:val="none"/>
          <w:lang w:val="en-US"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六</w:t>
      </w:r>
      <w:r>
        <w:rPr>
          <w:rFonts w:hint="default" w:ascii="方正黑体_GBK" w:hAnsi="方正黑体_GBK" w:eastAsia="方正黑体_GBK" w:cs="方正黑体_GBK"/>
          <w:snapToGrid/>
          <w:color w:val="auto"/>
          <w:spacing w:val="10"/>
          <w:kern w:val="2"/>
          <w:sz w:val="32"/>
          <w:szCs w:val="32"/>
          <w:highlight w:val="none"/>
          <w:lang w:val="en-US" w:eastAsia="zh-CN"/>
        </w:rPr>
        <w:t>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区市场监督管理局（知识产权局）对申报的奖励与资助项目进行审核，区财政局对资金进行审核监督，审核通过并在浦口区政府网站公示后，区市场监督管理局（知识产权局）负责兑现。</w:t>
      </w:r>
    </w:p>
    <w:p w14:paraId="4908F4FC">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ascii="Times New Roman" w:hAnsi="Times New Roman" w:eastAsia="方正仿宋_GBK" w:cs="Times New Roman"/>
          <w:snapToGrid/>
          <w:color w:val="auto"/>
          <w:spacing w:val="10"/>
          <w:kern w:val="2"/>
          <w:sz w:val="32"/>
          <w:szCs w:val="32"/>
          <w:highlight w:val="none"/>
          <w:lang w:eastAsia="zh-CN"/>
        </w:rPr>
      </w:pPr>
      <w:r>
        <w:rPr>
          <w:rFonts w:hint="eastAsia" w:ascii="方正黑体_GBK" w:hAnsi="方正黑体_GBK" w:eastAsia="方正黑体_GBK" w:cs="方正黑体_GBK"/>
          <w:snapToGrid/>
          <w:color w:val="auto"/>
          <w:spacing w:val="10"/>
          <w:kern w:val="2"/>
          <w:sz w:val="32"/>
          <w:szCs w:val="32"/>
          <w:highlight w:val="none"/>
          <w:lang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七</w:t>
      </w:r>
      <w:r>
        <w:rPr>
          <w:rFonts w:hint="eastAsia" w:ascii="方正黑体_GBK" w:hAnsi="方正黑体_GBK" w:eastAsia="方正黑体_GBK" w:cs="方正黑体_GBK"/>
          <w:snapToGrid/>
          <w:color w:val="auto"/>
          <w:spacing w:val="10"/>
          <w:kern w:val="2"/>
          <w:sz w:val="32"/>
          <w:szCs w:val="32"/>
          <w:highlight w:val="none"/>
          <w:lang w:eastAsia="zh-CN"/>
        </w:rPr>
        <w:t>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ascii="Times New Roman" w:hAnsi="Times New Roman" w:eastAsia="方正仿宋_GBK" w:cs="Times New Roman"/>
          <w:snapToGrid/>
          <w:color w:val="auto"/>
          <w:spacing w:val="10"/>
          <w:kern w:val="2"/>
          <w:sz w:val="32"/>
          <w:szCs w:val="32"/>
          <w:highlight w:val="none"/>
          <w:lang w:eastAsia="zh-CN"/>
        </w:rPr>
        <w:t>申报项目在申请和审核期间应处于有效法律状态且无权利纠纷；申请人对提供申报材料的真实性、完整性、合法性负责，对弄虚作假的，一经查实，追回依据本办法给予的资助与奖励，申请人依法承担相应法律责任。</w:t>
      </w:r>
    </w:p>
    <w:p w14:paraId="189C6B8B">
      <w:pPr>
        <w:keepNext w:val="0"/>
        <w:keepLines w:val="0"/>
        <w:pageBreakBefore w:val="0"/>
        <w:widowControl w:val="0"/>
        <w:kinsoku/>
        <w:wordWrap/>
        <w:overflowPunct w:val="0"/>
        <w:topLinePunct w:val="0"/>
        <w:autoSpaceDE/>
        <w:autoSpaceDN/>
        <w:bidi w:val="0"/>
        <w:spacing w:line="560" w:lineRule="exact"/>
        <w:ind w:firstLine="680" w:firstLineChars="200"/>
        <w:jc w:val="both"/>
        <w:rPr>
          <w:color w:val="auto"/>
          <w:highlight w:val="none"/>
        </w:rPr>
      </w:pPr>
      <w:r>
        <w:rPr>
          <w:rFonts w:hint="eastAsia" w:ascii="方正黑体_GBK" w:hAnsi="方正黑体_GBK" w:eastAsia="方正黑体_GBK" w:cs="方正黑体_GBK"/>
          <w:snapToGrid/>
          <w:color w:val="auto"/>
          <w:spacing w:val="10"/>
          <w:kern w:val="2"/>
          <w:sz w:val="32"/>
          <w:szCs w:val="32"/>
          <w:highlight w:val="none"/>
          <w:lang w:eastAsia="zh-CN"/>
        </w:rPr>
        <w:t>第十</w:t>
      </w:r>
      <w:r>
        <w:rPr>
          <w:rFonts w:hint="eastAsia" w:ascii="方正黑体_GBK" w:hAnsi="方正黑体_GBK" w:eastAsia="方正黑体_GBK" w:cs="方正黑体_GBK"/>
          <w:snapToGrid/>
          <w:color w:val="auto"/>
          <w:spacing w:val="10"/>
          <w:kern w:val="2"/>
          <w:sz w:val="32"/>
          <w:szCs w:val="32"/>
          <w:highlight w:val="none"/>
          <w:lang w:val="en-US" w:eastAsia="zh-CN"/>
        </w:rPr>
        <w:t>八</w:t>
      </w:r>
      <w:r>
        <w:rPr>
          <w:rFonts w:hint="eastAsia" w:ascii="方正黑体_GBK" w:hAnsi="方正黑体_GBK" w:eastAsia="方正黑体_GBK" w:cs="方正黑体_GBK"/>
          <w:snapToGrid/>
          <w:color w:val="auto"/>
          <w:spacing w:val="10"/>
          <w:kern w:val="2"/>
          <w:sz w:val="32"/>
          <w:szCs w:val="32"/>
          <w:highlight w:val="none"/>
          <w:lang w:eastAsia="zh-CN"/>
        </w:rPr>
        <w:t>条</w:t>
      </w:r>
      <w:r>
        <w:rPr>
          <w:rFonts w:hint="eastAsia" w:ascii="Times New Roman" w:hAnsi="Times New Roman" w:eastAsia="方正仿宋_GBK" w:cs="Times New Roman"/>
          <w:snapToGrid/>
          <w:color w:val="auto"/>
          <w:spacing w:val="10"/>
          <w:kern w:val="2"/>
          <w:sz w:val="32"/>
          <w:szCs w:val="32"/>
          <w:highlight w:val="none"/>
          <w:lang w:eastAsia="zh-CN"/>
        </w:rPr>
        <w:t xml:space="preserve">  </w:t>
      </w:r>
      <w:r>
        <w:rPr>
          <w:rFonts w:hint="default" w:ascii="Times New Roman" w:hAnsi="Times New Roman" w:eastAsia="方正仿宋_GBK" w:cs="Times New Roman"/>
          <w:snapToGrid/>
          <w:color w:val="auto"/>
          <w:spacing w:val="10"/>
          <w:kern w:val="2"/>
          <w:sz w:val="32"/>
          <w:szCs w:val="32"/>
          <w:highlight w:val="none"/>
          <w:lang w:eastAsia="zh-CN"/>
        </w:rPr>
        <w:t>本办法由浦口区人民政府负责解释，具体解释工作由区市场监督管理局（知识产权局）承担，自</w:t>
      </w:r>
      <w:r>
        <w:rPr>
          <w:rFonts w:hint="eastAsia" w:ascii="Times New Roman" w:hAnsi="Times New Roman" w:eastAsia="方正仿宋_GBK" w:cs="Times New Roman"/>
          <w:snapToGrid/>
          <w:color w:val="auto"/>
          <w:spacing w:val="10"/>
          <w:kern w:val="2"/>
          <w:sz w:val="32"/>
          <w:szCs w:val="32"/>
          <w:highlight w:val="none"/>
          <w:lang w:val="en-US" w:eastAsia="zh-CN"/>
        </w:rPr>
        <w:t>2025年11月27日起</w:t>
      </w:r>
      <w:r>
        <w:rPr>
          <w:rFonts w:hint="default" w:ascii="Times New Roman" w:hAnsi="Times New Roman" w:eastAsia="方正仿宋_GBK" w:cs="Times New Roman"/>
          <w:snapToGrid/>
          <w:color w:val="auto"/>
          <w:spacing w:val="10"/>
          <w:kern w:val="2"/>
          <w:sz w:val="32"/>
          <w:szCs w:val="32"/>
          <w:highlight w:val="none"/>
          <w:lang w:eastAsia="zh-CN"/>
        </w:rPr>
        <w:t>施行，有效期为</w:t>
      </w:r>
      <w:r>
        <w:rPr>
          <w:rFonts w:hint="default" w:ascii="Times New Roman" w:hAnsi="Times New Roman" w:eastAsia="方正仿宋_GBK" w:cs="Times New Roman"/>
          <w:snapToGrid/>
          <w:color w:val="auto"/>
          <w:spacing w:val="10"/>
          <w:kern w:val="2"/>
          <w:sz w:val="32"/>
          <w:szCs w:val="32"/>
          <w:highlight w:val="none"/>
          <w:lang w:val="en-US" w:eastAsia="zh-CN"/>
        </w:rPr>
        <w:t>五</w:t>
      </w:r>
      <w:r>
        <w:rPr>
          <w:rFonts w:hint="default" w:ascii="Times New Roman" w:hAnsi="Times New Roman" w:eastAsia="方正仿宋_GBK" w:cs="Times New Roman"/>
          <w:snapToGrid/>
          <w:color w:val="auto"/>
          <w:spacing w:val="10"/>
          <w:kern w:val="2"/>
          <w:sz w:val="32"/>
          <w:szCs w:val="32"/>
          <w:highlight w:val="none"/>
          <w:lang w:eastAsia="zh-CN"/>
        </w:rPr>
        <w:t>年。本办法施行期间，如遇上级文件修改或与其规定相违悖的，按照上级文件执行。</w:t>
      </w:r>
    </w:p>
    <w:sectPr>
      <w:headerReference r:id="rId5" w:type="default"/>
      <w:footerReference r:id="rId6" w:type="default"/>
      <w:pgSz w:w="11907" w:h="16841"/>
      <w:pgMar w:top="2098" w:right="1472" w:bottom="1984" w:left="1587" w:header="850" w:footer="1134" w:gutter="0"/>
      <w:pgNumType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637ECA0-6665-4DD4-A953-E1668E7ACBAB}"/>
  </w:font>
  <w:font w:name="方正黑体_GBK">
    <w:panose1 w:val="03000509000000000000"/>
    <w:charset w:val="86"/>
    <w:family w:val="auto"/>
    <w:pitch w:val="default"/>
    <w:sig w:usb0="00000001" w:usb1="080E0000" w:usb2="00000000" w:usb3="00000000" w:csb0="00040000" w:csb1="00000000"/>
    <w:embedRegular r:id="rId2" w:fontKey="{3CFC0369-E7DC-42E7-8914-67344F2DA86D}"/>
  </w:font>
  <w:font w:name="方正小标宋_GBK">
    <w:panose1 w:val="03000509000000000000"/>
    <w:charset w:val="86"/>
    <w:family w:val="script"/>
    <w:pitch w:val="default"/>
    <w:sig w:usb0="00000001" w:usb1="080E0000" w:usb2="00000000" w:usb3="00000000" w:csb0="00040000" w:csb1="00000000"/>
    <w:embedRegular r:id="rId3" w:fontKey="{F5620977-0F15-4339-BED3-98ADD92A01B2}"/>
  </w:font>
  <w:font w:name="方正楷体_GB2312">
    <w:panose1 w:val="02000000000000000000"/>
    <w:charset w:val="86"/>
    <w:family w:val="auto"/>
    <w:pitch w:val="default"/>
    <w:sig w:usb0="A00002BF" w:usb1="184F6CFA" w:usb2="00000012" w:usb3="00000000" w:csb0="00040001" w:csb1="00000000"/>
    <w:embedRegular r:id="rId4" w:fontKey="{767E9083-63FC-464F-A78C-2F5C84AC231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0B89">
    <w:pPr>
      <w:pStyle w:val="3"/>
      <w:overflowPunct w:val="0"/>
      <w:jc w:val="center"/>
    </w:pPr>
    <w:r>
      <w:rPr>
        <w:rFonts w:hint="eastAsia" w:hAnsi="宋体"/>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hAnsi="宋体"/>
        <w:sz w:val="28"/>
        <w:szCs w:val="28"/>
      </w:rPr>
      <w:t>—</w:t>
    </w:r>
  </w:p>
  <w:p w14:paraId="58782A3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1C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F52BD"/>
    <w:rsid w:val="03215DBB"/>
    <w:rsid w:val="04761E78"/>
    <w:rsid w:val="089808CE"/>
    <w:rsid w:val="0AFE3A58"/>
    <w:rsid w:val="0EDF2704"/>
    <w:rsid w:val="0F8F6C56"/>
    <w:rsid w:val="0FAA0788"/>
    <w:rsid w:val="1202500A"/>
    <w:rsid w:val="136761CF"/>
    <w:rsid w:val="13685225"/>
    <w:rsid w:val="187D5D54"/>
    <w:rsid w:val="1C060502"/>
    <w:rsid w:val="1F4F6243"/>
    <w:rsid w:val="1F6F9236"/>
    <w:rsid w:val="1F8DA1D6"/>
    <w:rsid w:val="1F9E6AB9"/>
    <w:rsid w:val="1FD528F1"/>
    <w:rsid w:val="21B6639D"/>
    <w:rsid w:val="284163B2"/>
    <w:rsid w:val="2B8B2A48"/>
    <w:rsid w:val="2D377E06"/>
    <w:rsid w:val="32251CFC"/>
    <w:rsid w:val="329B0E37"/>
    <w:rsid w:val="32E1494D"/>
    <w:rsid w:val="3814606E"/>
    <w:rsid w:val="387C6968"/>
    <w:rsid w:val="3B3601F7"/>
    <w:rsid w:val="3BD12B8F"/>
    <w:rsid w:val="3D9FD1FA"/>
    <w:rsid w:val="3DBBAC5D"/>
    <w:rsid w:val="3EC04BAD"/>
    <w:rsid w:val="3FFE8402"/>
    <w:rsid w:val="42194A7C"/>
    <w:rsid w:val="43FB3ACD"/>
    <w:rsid w:val="459ADCC9"/>
    <w:rsid w:val="468323BE"/>
    <w:rsid w:val="473263C9"/>
    <w:rsid w:val="481F6B0D"/>
    <w:rsid w:val="4B1D09BB"/>
    <w:rsid w:val="4D605B35"/>
    <w:rsid w:val="4D794B55"/>
    <w:rsid w:val="4DD07EC3"/>
    <w:rsid w:val="4DD81969"/>
    <w:rsid w:val="4E200483"/>
    <w:rsid w:val="4E355EBD"/>
    <w:rsid w:val="4E7B6F82"/>
    <w:rsid w:val="4EB7A5CD"/>
    <w:rsid w:val="51011D20"/>
    <w:rsid w:val="521F5435"/>
    <w:rsid w:val="5304421D"/>
    <w:rsid w:val="5501202C"/>
    <w:rsid w:val="56046A53"/>
    <w:rsid w:val="56721C79"/>
    <w:rsid w:val="56C61500"/>
    <w:rsid w:val="57106784"/>
    <w:rsid w:val="57997741"/>
    <w:rsid w:val="59D14ED1"/>
    <w:rsid w:val="5B024F63"/>
    <w:rsid w:val="5C260E0D"/>
    <w:rsid w:val="5C491911"/>
    <w:rsid w:val="5C633C82"/>
    <w:rsid w:val="5DE30D4D"/>
    <w:rsid w:val="5FCE0630"/>
    <w:rsid w:val="628E0FEB"/>
    <w:rsid w:val="63395E86"/>
    <w:rsid w:val="677DEB85"/>
    <w:rsid w:val="67D78767"/>
    <w:rsid w:val="68494705"/>
    <w:rsid w:val="6B397FBC"/>
    <w:rsid w:val="6D1984BD"/>
    <w:rsid w:val="6DBF0233"/>
    <w:rsid w:val="6F79F94D"/>
    <w:rsid w:val="6FF76057"/>
    <w:rsid w:val="6FFE5F86"/>
    <w:rsid w:val="70B361A9"/>
    <w:rsid w:val="72D3C432"/>
    <w:rsid w:val="73ACD918"/>
    <w:rsid w:val="75DF906C"/>
    <w:rsid w:val="772A439D"/>
    <w:rsid w:val="77DF332A"/>
    <w:rsid w:val="77ECC914"/>
    <w:rsid w:val="79A9BA85"/>
    <w:rsid w:val="79C7440C"/>
    <w:rsid w:val="7AEF838B"/>
    <w:rsid w:val="7BB0211B"/>
    <w:rsid w:val="7BBFE240"/>
    <w:rsid w:val="7BF32868"/>
    <w:rsid w:val="7C4D1A22"/>
    <w:rsid w:val="7CD563CB"/>
    <w:rsid w:val="7D6B39C2"/>
    <w:rsid w:val="7DADAB9F"/>
    <w:rsid w:val="7DDA9D3E"/>
    <w:rsid w:val="7E5951D8"/>
    <w:rsid w:val="7E7E7AF8"/>
    <w:rsid w:val="7EBD0E72"/>
    <w:rsid w:val="7EE6C227"/>
    <w:rsid w:val="7F8B76B2"/>
    <w:rsid w:val="7FA7F5C2"/>
    <w:rsid w:val="7FE7FD8E"/>
    <w:rsid w:val="7FF5323B"/>
    <w:rsid w:val="7FFF9E02"/>
    <w:rsid w:val="9FBF48E1"/>
    <w:rsid w:val="ABF36F3F"/>
    <w:rsid w:val="AF79C3AE"/>
    <w:rsid w:val="B1F82746"/>
    <w:rsid w:val="B677EFFE"/>
    <w:rsid w:val="BDDE147B"/>
    <w:rsid w:val="BDE32F7E"/>
    <w:rsid w:val="BDFD5531"/>
    <w:rsid w:val="BF3F2604"/>
    <w:rsid w:val="BFBB1BBE"/>
    <w:rsid w:val="BFFE1ED8"/>
    <w:rsid w:val="C3D798A5"/>
    <w:rsid w:val="C77B23B0"/>
    <w:rsid w:val="C7DF1416"/>
    <w:rsid w:val="CEDF6735"/>
    <w:rsid w:val="CEED9C2B"/>
    <w:rsid w:val="CFDF6FD6"/>
    <w:rsid w:val="D3EE26EF"/>
    <w:rsid w:val="D3F5E7C9"/>
    <w:rsid w:val="D5FFCD77"/>
    <w:rsid w:val="D77EF30C"/>
    <w:rsid w:val="DB3F9975"/>
    <w:rsid w:val="DEFEB51E"/>
    <w:rsid w:val="DF5969A0"/>
    <w:rsid w:val="DF7F4C2C"/>
    <w:rsid w:val="DFEBC017"/>
    <w:rsid w:val="E6ED1794"/>
    <w:rsid w:val="E6FDA22D"/>
    <w:rsid w:val="EB9D78AA"/>
    <w:rsid w:val="EDF81BAB"/>
    <w:rsid w:val="EEFCBC43"/>
    <w:rsid w:val="EFBC3F54"/>
    <w:rsid w:val="EFFE183A"/>
    <w:rsid w:val="F01F3A94"/>
    <w:rsid w:val="F0FC9868"/>
    <w:rsid w:val="F3B9A58F"/>
    <w:rsid w:val="F4FF07C1"/>
    <w:rsid w:val="F6FE03D3"/>
    <w:rsid w:val="F7FA7E70"/>
    <w:rsid w:val="F7FFE457"/>
    <w:rsid w:val="F8A17359"/>
    <w:rsid w:val="F97B62EB"/>
    <w:rsid w:val="F9ABF996"/>
    <w:rsid w:val="F9EB1682"/>
    <w:rsid w:val="F9F00034"/>
    <w:rsid w:val="F9F7ACF1"/>
    <w:rsid w:val="FA7AA6E9"/>
    <w:rsid w:val="FBBE7E63"/>
    <w:rsid w:val="FBEA551F"/>
    <w:rsid w:val="FBEBE0A4"/>
    <w:rsid w:val="FBFEA2A5"/>
    <w:rsid w:val="FBFFB111"/>
    <w:rsid w:val="FC3B13A9"/>
    <w:rsid w:val="FCDF1BB6"/>
    <w:rsid w:val="FD7C3DA8"/>
    <w:rsid w:val="FDBDE669"/>
    <w:rsid w:val="FDF5C2B3"/>
    <w:rsid w:val="FDFE1DB5"/>
    <w:rsid w:val="FEEF4361"/>
    <w:rsid w:val="FF1ECCB0"/>
    <w:rsid w:val="FF796DBA"/>
    <w:rsid w:val="FFBFAC61"/>
    <w:rsid w:val="FFD30B6C"/>
    <w:rsid w:val="FFEF0FC3"/>
    <w:rsid w:val="FFF51BD9"/>
    <w:rsid w:val="FFF552EC"/>
    <w:rsid w:val="FFF7850F"/>
    <w:rsid w:val="FFFDF94F"/>
    <w:rsid w:val="FFFF3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rFonts w:ascii="方正仿宋_GBK" w:eastAsia="方正仿宋_GBK" w:hAnsiTheme="minorHAnsi" w:cstheme="minorBidi"/>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2398</Words>
  <Characters>2478</Characters>
  <TotalTime>14</TotalTime>
  <ScaleCrop>false</ScaleCrop>
  <LinksUpToDate>false</LinksUpToDate>
  <CharactersWithSpaces>2524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2022-11-12T08:59:00Z</dcterms:created>
  <dc:creator>10233</dc:creator>
  <cp:lastModifiedBy>唐SH</cp:lastModifiedBy>
  <dcterms:modified xsi:type="dcterms:W3CDTF">2025-10-22T09:42:08Z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2025-08-05T10:14:59Z</vt:filetime>
  </property>
  <property fmtid="{D5CDD505-2E9C-101B-9397-08002B2CF9AE}" pid="4" name="KSOTemplateDocerSaveRecord">
    <vt:lpwstr>eyJoZGlkIjoiYTYzMWRjMTFiMDBkYjlmYTM1NTQ3NmI0M2UyNWNiNTkiLCJ1c2VySWQiOiIyNjY0Njk0MDEifQ==</vt:lpwstr>
  </property>
  <property fmtid="{D5CDD505-2E9C-101B-9397-08002B2CF9AE}" pid="5" name="KSOProductBuildVer">
    <vt:lpwstr>2052-12.1.0.23125</vt:lpwstr>
  </property>
  <property fmtid="{D5CDD505-2E9C-101B-9397-08002B2CF9AE}" pid="6" name="ICV">
    <vt:lpwstr>6744B9BFCCC5513602BCC3687312F4DD_43</vt:lpwstr>
  </property>
</Properties>
</file>