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04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南京市浦口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住房保障和房产局</w:t>
      </w:r>
    </w:p>
    <w:p w14:paraId="689533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年政府信息公开工作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年度报告</w:t>
      </w:r>
    </w:p>
    <w:p w14:paraId="43773C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44E03C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本年报是根据《中华人民共和国政府信息公开条例》要求，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由南京市浦口区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住房保障和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房产局办公室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编制的202</w:t>
      </w:r>
      <w:r>
        <w:rPr>
          <w:rFonts w:hint="eastAsia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年度政府信息公开工作年度报告。全文包括总体情况、主动公开信息情况、收到和处理政府信息公开申请情况、政府信息公开行政复议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行政诉讼情况、存在的主要问题及改进情况、其他需要报告的事项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如需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下载本报告电子版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请登录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南京市浦口区人民政府网站（www.pukou.gov.cn）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如对本报告有任何疑问，请与南京市浦口区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房产局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办公室联系（地址：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南京市浦口区江浦街道珠江路10号，邮编：211800，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025-58282380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）。</w:t>
      </w:r>
    </w:p>
    <w:p w14:paraId="67CC5FDD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总体情况</w:t>
      </w:r>
    </w:p>
    <w:p w14:paraId="7851E3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202</w:t>
      </w:r>
      <w:bookmarkStart w:id="0" w:name="_GoBack"/>
      <w:bookmarkEnd w:id="0"/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南京市浦口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住房保障和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房产局一如既往高度重视信息公开工作保障公民权利、促进依法行政的重要意义，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围绕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职能开展本项工作。主动公开的信息主要包括单位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领导分工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、年度财政预决算、公租房、共有产权房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租赁补贴、维修资金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使用、物业管理星级评比、房票安置政策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内容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，全年信息公开总量为</w:t>
      </w:r>
      <w:r>
        <w:rPr>
          <w:rFonts w:hint="eastAsia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同时办理依申请公开</w:t>
      </w:r>
      <w:r>
        <w:rPr>
          <w:rFonts w:hint="eastAsia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件。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现将20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年度信息公开总体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情况总结如下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。</w:t>
      </w:r>
    </w:p>
    <w:p w14:paraId="2E353D89"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强化基础建设，压实主体责任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坚持信息公开工作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职责到岗到人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明确领导分管负责信息公开工作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，局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负责主动信息公开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，局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法规科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负责依申请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公开，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有力保障本项工作开展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机关各科室、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下属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单位做好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信息公开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内容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，确保应公开尽公开。</w:t>
      </w:r>
    </w:p>
    <w:p w14:paraId="3C8FF7A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健全工作机制，规范信息发布。一是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建立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严格审慎的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政府信息公开审核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发布制度，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确保信息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制度化、规范化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对外公开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发布的信息，均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严格按照《区房产局信息宣传三审三校实施细则》进行审核，确保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信息准确、全面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主动、及时公布信息，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缩短信息收集、整理、编写等各环节的滞留时间，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回应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住房保障、物业管理、房屋安全等方面的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时效性。</w:t>
      </w:r>
    </w:p>
    <w:p w14:paraId="27E1F10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业务培训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强化工作要求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定期开展信息公开专题培训，强调信息公开工作流程，提升工作人员专业性。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认真传达上级部门关于信息公开工作的部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署，要求各科室、下属单位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信息公开任务。</w:t>
      </w:r>
    </w:p>
    <w:p w14:paraId="3B0D61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二、主动公开政府信息情况</w:t>
      </w:r>
    </w:p>
    <w:tbl>
      <w:tblPr>
        <w:tblStyle w:val="1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D2A0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7BEFC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 w14:paraId="0EFFB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EA70E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1E9E5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hAnsi="宋体"/>
                <w:kern w:val="0"/>
                <w:sz w:val="28"/>
                <w:szCs w:val="3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1142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263E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hAnsi="宋体"/>
                <w:kern w:val="0"/>
                <w:sz w:val="28"/>
                <w:szCs w:val="30"/>
              </w:rPr>
              <w:t>数</w:t>
            </w:r>
          </w:p>
        </w:tc>
      </w:tr>
      <w:tr w14:paraId="5CEF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0B8D3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19762"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8B1CA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7EB09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40517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A556A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313D0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533A0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353A3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2F659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EE560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 w14:paraId="7F4B6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468FC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E6B83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14:paraId="1B4FA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D06B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0E375">
            <w:pPr>
              <w:widowControl/>
              <w:jc w:val="center"/>
              <w:rPr>
                <w:rFonts w:hint="default" w:eastAsia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153</w:t>
            </w:r>
          </w:p>
        </w:tc>
      </w:tr>
      <w:tr w14:paraId="620E0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DBCD3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 w14:paraId="0A2C3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A1B63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E2FE8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14:paraId="0D9A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9BEA7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DBF7F">
            <w:pPr>
              <w:widowControl/>
              <w:jc w:val="center"/>
              <w:rPr>
                <w:rFonts w:hint="default" w:eastAsia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50</w:t>
            </w:r>
          </w:p>
        </w:tc>
      </w:tr>
      <w:tr w14:paraId="6D5D9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1B4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6949F"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2</w:t>
            </w:r>
          </w:p>
        </w:tc>
      </w:tr>
      <w:tr w14:paraId="7D5D8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403C7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 w14:paraId="6F8F9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435B0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7E6C1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 w14:paraId="20B8F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E4A27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Ansi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85642"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</w:tbl>
    <w:p w14:paraId="06E40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三、收到和处理政府信息公开申请情况</w:t>
      </w:r>
    </w:p>
    <w:p w14:paraId="6C0E7F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2024年，浦口区房产局共受理依申请公开件94件，其中32件予以公开，4件予以部分公开；4件不予公开，18件属于本机关不掌握的相关政府信息，2件不予处理，32件其他处理，2件结转下年度继续办理。</w:t>
      </w:r>
    </w:p>
    <w:tbl>
      <w:tblPr>
        <w:tblStyle w:val="1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 w14:paraId="48B38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5E1A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楷体" w:eastAsia="楷体"/>
                <w:kern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60DBE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申请人情况</w:t>
            </w:r>
          </w:p>
        </w:tc>
      </w:tr>
      <w:tr w14:paraId="239D8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395BD8C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942C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51EF9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B8557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总计</w:t>
            </w:r>
          </w:p>
        </w:tc>
      </w:tr>
      <w:tr w14:paraId="22A1F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7E84D96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2EB6E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7A0B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商业</w:t>
            </w:r>
          </w:p>
          <w:p w14:paraId="6F0B09BA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57FBF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科研</w:t>
            </w:r>
          </w:p>
          <w:p w14:paraId="1D75CF0B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E72FD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6A21A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ACA2D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A1353D4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35860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26F3A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2380C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7F28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33830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CB5A1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CFFF1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E479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5B14A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</w:tr>
      <w:tr w14:paraId="3CBDE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83A1B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55DA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51852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E2832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9D933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D00E7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7EDA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C387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52710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1E14B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ADA0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1A89C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0BA0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BDC1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C741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E38E4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357C5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26F64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</w:tr>
      <w:tr w14:paraId="6977F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6D64843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19609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（二）部分公开</w:t>
            </w:r>
            <w:r>
              <w:rPr>
                <w:rFonts w:hAnsi="楷体" w:eastAsia="楷体"/>
                <w:kern w:val="0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BF53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8E238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EB8A1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00785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5168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63DB5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6D8BE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6C976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F86DC8C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ED805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98964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</w:t>
            </w:r>
            <w:r>
              <w:rPr>
                <w:rFonts w:hAnsi="宋体"/>
                <w:kern w:val="0"/>
                <w:sz w:val="21"/>
                <w:szCs w:val="21"/>
              </w:rPr>
              <w:t>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3D3A7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781C5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1B6F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58164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BF92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0564A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154C0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BD3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5FF2E56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4E15154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75304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2.</w:t>
            </w:r>
            <w:r>
              <w:rPr>
                <w:rFonts w:hAnsi="宋体"/>
                <w:kern w:val="0"/>
                <w:sz w:val="21"/>
                <w:szCs w:val="21"/>
              </w:rPr>
              <w:t>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E8545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3242D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BA689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4719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17F0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4F61E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0269E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C842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F1C316E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3806DBF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98B2C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3.</w:t>
            </w:r>
            <w:r>
              <w:rPr>
                <w:rFonts w:hAnsi="宋体"/>
                <w:kern w:val="0"/>
                <w:sz w:val="21"/>
                <w:szCs w:val="21"/>
              </w:rPr>
              <w:t>危及</w:t>
            </w:r>
            <w:r>
              <w:rPr>
                <w:kern w:val="0"/>
                <w:sz w:val="21"/>
                <w:szCs w:val="21"/>
              </w:rPr>
              <w:t>“</w:t>
            </w:r>
            <w:r>
              <w:rPr>
                <w:rFonts w:hAnsi="宋体"/>
                <w:kern w:val="0"/>
                <w:sz w:val="21"/>
                <w:szCs w:val="21"/>
              </w:rPr>
              <w:t>三安全一稳定</w:t>
            </w:r>
            <w:r>
              <w:rPr>
                <w:kern w:val="0"/>
                <w:sz w:val="21"/>
                <w:szCs w:val="21"/>
              </w:rPr>
              <w:t>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5EA3A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CFEC1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9C171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B597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AC634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8B747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5A1A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F012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773EDC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035816D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1FD4F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4.</w:t>
            </w:r>
            <w:r>
              <w:rPr>
                <w:rFonts w:hAnsi="宋体"/>
                <w:kern w:val="0"/>
                <w:sz w:val="21"/>
                <w:szCs w:val="21"/>
              </w:rPr>
              <w:t>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AB07EE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2ABB4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1598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1334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70690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2619D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CC8E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64CD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A9BEC72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085C3A0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45670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5.</w:t>
            </w:r>
            <w:r>
              <w:rPr>
                <w:rFonts w:hAnsi="宋体"/>
                <w:kern w:val="0"/>
                <w:sz w:val="21"/>
                <w:szCs w:val="21"/>
              </w:rPr>
              <w:t>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971C2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0FCA8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2B4DC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4755D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4CFE6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A445A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F42F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439B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FE9493F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5E5036A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CF33A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6.</w:t>
            </w:r>
            <w:r>
              <w:rPr>
                <w:rFonts w:hAnsi="宋体"/>
                <w:kern w:val="0"/>
                <w:sz w:val="21"/>
                <w:szCs w:val="21"/>
              </w:rPr>
              <w:t>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DEB6D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848B7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09171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22967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3D5C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7BDD8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CA5FD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8782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4069F02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B2BAF1F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6C9C3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7.</w:t>
            </w:r>
            <w:r>
              <w:rPr>
                <w:rFonts w:hAnsi="宋体"/>
                <w:kern w:val="0"/>
                <w:sz w:val="21"/>
                <w:szCs w:val="21"/>
              </w:rPr>
              <w:t>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837E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66FF4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2BFEDC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2BFD2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D5752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AFF6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EB32F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4871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326A97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8EAC07B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7793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8.</w:t>
            </w:r>
            <w:r>
              <w:rPr>
                <w:rFonts w:hAnsi="宋体"/>
                <w:kern w:val="0"/>
                <w:sz w:val="21"/>
                <w:szCs w:val="21"/>
              </w:rPr>
              <w:t>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2FD1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52E33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17EAA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93E0B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2B3B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D8848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AA64D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1B8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330D7C9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423FA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4ACF2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</w:t>
            </w:r>
            <w:r>
              <w:rPr>
                <w:rFonts w:hAnsi="宋体"/>
                <w:kern w:val="0"/>
                <w:sz w:val="21"/>
                <w:szCs w:val="21"/>
              </w:rPr>
              <w:t>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5EE46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6C58D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35045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5692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24F5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2D5B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15364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49BA8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8FE2BC5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01F4085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D33F2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2.</w:t>
            </w:r>
            <w:r>
              <w:rPr>
                <w:rFonts w:hAnsi="宋体"/>
                <w:kern w:val="0"/>
                <w:sz w:val="21"/>
                <w:szCs w:val="21"/>
              </w:rPr>
              <w:t>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61F80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4268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EADE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5A8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FD07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08B5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4770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9672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2B8C45C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CDD21DA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5D684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3.</w:t>
            </w:r>
            <w:r>
              <w:rPr>
                <w:rFonts w:hAnsi="宋体"/>
                <w:kern w:val="0"/>
                <w:sz w:val="21"/>
                <w:szCs w:val="21"/>
              </w:rPr>
              <w:t>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CE93A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AAB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FF83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9FCE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C400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0C73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6A2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8F08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E41216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7A749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875F2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</w:t>
            </w:r>
            <w:r>
              <w:rPr>
                <w:rFonts w:hAnsi="宋体"/>
                <w:kern w:val="0"/>
                <w:sz w:val="21"/>
                <w:szCs w:val="21"/>
              </w:rPr>
              <w:t>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161D1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745B9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59E3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0647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106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8C5B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9BD7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2540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B7B4A99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0B6EB13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603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2.</w:t>
            </w:r>
            <w:r>
              <w:rPr>
                <w:rFonts w:hAnsi="宋体"/>
                <w:kern w:val="0"/>
                <w:sz w:val="21"/>
                <w:szCs w:val="21"/>
              </w:rPr>
              <w:t>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A2FA8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CC79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84FE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524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3EB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B27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3B7F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0C2D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A777D0E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784E494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39FD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3.</w:t>
            </w:r>
            <w:r>
              <w:rPr>
                <w:rFonts w:hAnsi="宋体"/>
                <w:kern w:val="0"/>
                <w:sz w:val="21"/>
                <w:szCs w:val="21"/>
              </w:rPr>
              <w:t>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3C3E2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3B0F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470B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2BB9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379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DA86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D250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C3A9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FAD161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10010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68AFF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4.</w:t>
            </w:r>
            <w:r>
              <w:rPr>
                <w:rFonts w:hAnsi="宋体"/>
                <w:kern w:val="0"/>
                <w:sz w:val="21"/>
                <w:szCs w:val="21"/>
              </w:rPr>
              <w:t>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81597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530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0358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A2DC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2364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3BB6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5125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D5FD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A19FF10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1AB5919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C0ACD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5.</w:t>
            </w:r>
            <w:r>
              <w:rPr>
                <w:rFonts w:hAnsi="宋体"/>
                <w:kern w:val="0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A001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D86D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E14B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6765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2092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41BD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96EA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4BFE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AAE3F75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1C550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520C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</w:t>
            </w:r>
            <w:r>
              <w:rPr>
                <w:rFonts w:hAnsi="宋体"/>
                <w:kern w:val="0"/>
                <w:sz w:val="21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8247D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ED42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2B90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4F8E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912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150F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B446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DF53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4EE17C0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DDB4EB3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945F3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2.</w:t>
            </w:r>
            <w:r>
              <w:rPr>
                <w:rFonts w:hAnsi="宋体"/>
                <w:kern w:val="0"/>
                <w:sz w:val="21"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9A3F7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7F02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8FFD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1C8C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4EE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F016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F91A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41F9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82101C2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77984BD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FCC8C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3.</w:t>
            </w:r>
            <w:r>
              <w:rPr>
                <w:rFonts w:hAnsi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F5138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CC72B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48455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10B7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97955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DEACA0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6FB6A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</w:tr>
      <w:tr w14:paraId="5C3EB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BBB5876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D0CD5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9298E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F4287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15D68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416F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F763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5B87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E5B44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</w:tr>
      <w:tr w14:paraId="5E0E0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026E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C9AFA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8E5E8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9614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26AAA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C0C1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3608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E3524">
            <w:pPr>
              <w:widowControl/>
              <w:spacing w:line="300" w:lineRule="exact"/>
              <w:ind w:firstLine="210" w:firstLineChars="10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646819A5">
      <w:pPr>
        <w:widowControl/>
        <w:shd w:val="clear" w:color="auto" w:fill="FFFFFF"/>
        <w:spacing w:line="400" w:lineRule="exact"/>
        <w:jc w:val="center"/>
        <w:rPr>
          <w:color w:val="333333"/>
          <w:kern w:val="0"/>
          <w:sz w:val="30"/>
          <w:szCs w:val="30"/>
        </w:rPr>
      </w:pPr>
    </w:p>
    <w:p w14:paraId="0505598E">
      <w:pPr>
        <w:widowControl/>
        <w:shd w:val="clear" w:color="auto" w:fill="FFFFFF"/>
        <w:spacing w:line="400" w:lineRule="exact"/>
        <w:ind w:firstLine="480"/>
        <w:rPr>
          <w:b/>
          <w:bCs/>
          <w:color w:val="333333"/>
          <w:kern w:val="0"/>
          <w:sz w:val="30"/>
          <w:szCs w:val="30"/>
        </w:rPr>
      </w:pPr>
    </w:p>
    <w:p w14:paraId="0E1F15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四、政府信息公开行政复议、行政诉讼情况</w:t>
      </w:r>
    </w:p>
    <w:p w14:paraId="1AEAAA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年浦口区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房产局涉及信息公开的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行政复议13条，行政诉讼2条。</w:t>
      </w:r>
    </w:p>
    <w:tbl>
      <w:tblPr>
        <w:tblStyle w:val="1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43A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6CF7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BF3D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行政诉讼</w:t>
            </w:r>
          </w:p>
        </w:tc>
      </w:tr>
      <w:tr w14:paraId="1C705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0DA4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B68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结果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6F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C8E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尚未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1DEB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92DC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A789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复议后起诉</w:t>
            </w:r>
          </w:p>
        </w:tc>
      </w:tr>
      <w:tr w14:paraId="0AF4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17686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260AE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BB55C3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82391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77AEA8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C54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结果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815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结果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87C1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F05D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尚未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9C43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A8EE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结果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739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结果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A7B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其他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545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尚未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宋体"/>
                <w:kern w:val="0"/>
                <w:sz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AA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总计</w:t>
            </w:r>
          </w:p>
        </w:tc>
      </w:tr>
      <w:tr w14:paraId="1580A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7228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2FD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3E4E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7B57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5B6E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6C64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7A8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1B33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2AE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2012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537F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2FFC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DF17"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0BD6"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1D49"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</w:tr>
    </w:tbl>
    <w:p w14:paraId="379BABAA">
      <w:pPr>
        <w:widowControl/>
        <w:shd w:val="clear" w:color="auto" w:fill="FFFFFF"/>
        <w:ind w:firstLine="480"/>
        <w:rPr>
          <w:rFonts w:eastAsia="方正黑体_GBK"/>
          <w:bCs/>
          <w:color w:val="333333"/>
          <w:kern w:val="0"/>
          <w:sz w:val="30"/>
          <w:szCs w:val="30"/>
        </w:rPr>
      </w:pPr>
    </w:p>
    <w:p w14:paraId="19DE3CE6">
      <w:pPr>
        <w:widowControl/>
        <w:shd w:val="clear" w:color="auto" w:fill="FFFFFF"/>
        <w:ind w:firstLine="480"/>
        <w:rPr>
          <w:rFonts w:eastAsia="方正黑体_GBK"/>
          <w:bCs/>
          <w:color w:val="333333"/>
          <w:kern w:val="0"/>
          <w:sz w:val="30"/>
          <w:szCs w:val="30"/>
        </w:rPr>
      </w:pPr>
      <w:r>
        <w:rPr>
          <w:rFonts w:eastAsia="方正黑体_GBK"/>
          <w:bCs/>
          <w:color w:val="333333"/>
          <w:kern w:val="0"/>
          <w:sz w:val="30"/>
          <w:szCs w:val="30"/>
        </w:rPr>
        <w:t>五、存在的主要问题及改进情况</w:t>
      </w:r>
    </w:p>
    <w:p w14:paraId="40E91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（一）存在的主要问题</w:t>
      </w:r>
    </w:p>
    <w:p w14:paraId="5ADFEA50"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年，我局政府信息公开工作还存在些许不足，主要是公开的阵地有待拓宽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公开内容还需增加。</w:t>
      </w:r>
    </w:p>
    <w:p w14:paraId="2BD8C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（二）改进措施</w:t>
      </w:r>
    </w:p>
    <w:p w14:paraId="2FBB8A10"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.重视培训，提高水平。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定期组织对政府信息公开工作人员的业务培训，就相关法律法规及上级部门工作部署进行专题深入讲解，提高工作水平，强化责任意识，确保工作有序开展。</w:t>
      </w:r>
    </w:p>
    <w:p w14:paraId="7A3614A0"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.突出重点，强化宣传。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谋划群众接受度高的形式，广泛开展信息公开工作，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为群众提供快捷全面获取知识、获得帮助的途径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，改变目前部分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群众对于房产管理各领域业务了解不够全面、不够准确的现状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555575C">
      <w:pPr>
        <w:widowControl/>
        <w:shd w:val="clear" w:color="auto" w:fill="FFFFFF"/>
        <w:ind w:firstLine="480"/>
        <w:rPr>
          <w:rFonts w:eastAsia="方正黑体_GBK"/>
          <w:bCs/>
          <w:color w:val="333333"/>
          <w:kern w:val="0"/>
          <w:sz w:val="30"/>
          <w:szCs w:val="30"/>
        </w:rPr>
      </w:pPr>
      <w:r>
        <w:rPr>
          <w:rFonts w:eastAsia="方正黑体_GBK"/>
          <w:bCs/>
          <w:color w:val="333333"/>
          <w:kern w:val="0"/>
          <w:sz w:val="30"/>
          <w:szCs w:val="30"/>
        </w:rPr>
        <w:t>六、其他需要报告的事项</w:t>
      </w:r>
    </w:p>
    <w:p w14:paraId="02BB3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年，我局无其他需要报告的事项，没有收取信息处理费。</w:t>
      </w:r>
    </w:p>
    <w:p w14:paraId="6E828D66">
      <w:pPr>
        <w:spacing w:line="300" w:lineRule="auto"/>
        <w:rPr>
          <w:rFonts w:eastAsia="方正仿宋_GBK"/>
          <w:sz w:val="32"/>
          <w:szCs w:val="32"/>
        </w:rPr>
      </w:pPr>
    </w:p>
    <w:sectPr>
      <w:footerReference r:id="rId3" w:type="default"/>
      <w:pgSz w:w="11906" w:h="16838"/>
      <w:pgMar w:top="2098" w:right="1588" w:bottom="1701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01D05">
    <w:pPr>
      <w:pStyle w:val="13"/>
      <w:ind w:right="37" w:firstLine="280" w:firstLineChars="10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Style w:val="21"/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 PAGE </w:instrText>
    </w:r>
    <w:r>
      <w:rPr>
        <w:rStyle w:val="21"/>
        <w:sz w:val="28"/>
        <w:szCs w:val="28"/>
      </w:rPr>
      <w:fldChar w:fldCharType="separate"/>
    </w:r>
    <w:r>
      <w:rPr>
        <w:rStyle w:val="21"/>
        <w:sz w:val="28"/>
        <w:szCs w:val="28"/>
      </w:rPr>
      <w:t>15</w:t>
    </w:r>
    <w:r>
      <w:rPr>
        <w:rStyle w:val="21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87622"/>
    <w:multiLevelType w:val="singleLevel"/>
    <w:tmpl w:val="AE2876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AD077F"/>
    <w:multiLevelType w:val="singleLevel"/>
    <w:tmpl w:val="01AD077F"/>
    <w:lvl w:ilvl="0" w:tentative="0">
      <w:start w:val="1"/>
      <w:numFmt w:val="chineseCountingThousand"/>
      <w:pStyle w:val="4"/>
      <w:lvlText w:val="（%1）"/>
      <w:lvlJc w:val="left"/>
      <w:pPr>
        <w:tabs>
          <w:tab w:val="left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</w:abstractNum>
  <w:abstractNum w:abstractNumId="2">
    <w:nsid w:val="0EC54944"/>
    <w:multiLevelType w:val="singleLevel"/>
    <w:tmpl w:val="0EC54944"/>
    <w:lvl w:ilvl="0" w:tentative="0">
      <w:start w:val="1"/>
      <w:numFmt w:val="decimal"/>
      <w:pStyle w:val="6"/>
      <w:lvlText w:val="（%1）"/>
      <w:lvlJc w:val="left"/>
      <w:pPr>
        <w:tabs>
          <w:tab w:val="left" w:pos="800"/>
        </w:tabs>
        <w:ind w:left="0" w:firstLine="646"/>
      </w:pPr>
      <w:rPr>
        <w:rFonts w:hint="default" w:ascii="Times New Roman" w:hAnsi="Times New Roman" w:eastAsia="方正仿宋_GBK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position w:val="0"/>
        <w:u w:val="none"/>
        <w:vertAlign w:val="baseline"/>
      </w:rPr>
    </w:lvl>
  </w:abstractNum>
  <w:abstractNum w:abstractNumId="3">
    <w:nsid w:val="199C6A17"/>
    <w:multiLevelType w:val="singleLevel"/>
    <w:tmpl w:val="199C6A17"/>
    <w:lvl w:ilvl="0" w:tentative="0">
      <w:start w:val="1"/>
      <w:numFmt w:val="chineseCounting"/>
      <w:suff w:val="nothing"/>
      <w:lvlText w:val="（%1）"/>
      <w:lvlJc w:val="left"/>
      <w:rPr>
        <w:rFonts w:hint="eastAsia" w:ascii="方正仿宋_GBK" w:eastAsia="方正仿宋_GBK"/>
        <w:b/>
      </w:rPr>
    </w:lvl>
  </w:abstractNum>
  <w:abstractNum w:abstractNumId="4">
    <w:nsid w:val="5B93533C"/>
    <w:multiLevelType w:val="singleLevel"/>
    <w:tmpl w:val="5B93533C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34"/>
        </w:tabs>
        <w:ind w:left="0" w:firstLine="612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position w:val="0"/>
        <w:u w:val="none"/>
        <w:vertAlign w:val="baseline"/>
      </w:rPr>
    </w:lvl>
  </w:abstractNum>
  <w:abstractNum w:abstractNumId="5">
    <w:nsid w:val="68956DC5"/>
    <w:multiLevelType w:val="multilevel"/>
    <w:tmpl w:val="68956DC5"/>
    <w:lvl w:ilvl="0" w:tentative="0">
      <w:start w:val="1"/>
      <w:numFmt w:val="decimal"/>
      <w:pStyle w:val="5"/>
      <w:lvlText w:val="%1、"/>
      <w:lvlJc w:val="left"/>
      <w:pPr>
        <w:tabs>
          <w:tab w:val="left" w:pos="0"/>
        </w:tabs>
        <w:ind w:left="0" w:firstLine="646"/>
      </w:pPr>
      <w:rPr>
        <w:rFonts w:hint="default" w:ascii="Times New Roman" w:hAnsi="Times New Roman" w:eastAsia="方正仿宋_GBK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86"/>
    <w:rsid w:val="00070E6E"/>
    <w:rsid w:val="000861E5"/>
    <w:rsid w:val="000B63CA"/>
    <w:rsid w:val="001517E5"/>
    <w:rsid w:val="00161C39"/>
    <w:rsid w:val="0019197F"/>
    <w:rsid w:val="001C1A94"/>
    <w:rsid w:val="001D2016"/>
    <w:rsid w:val="001F2DBE"/>
    <w:rsid w:val="00202FFA"/>
    <w:rsid w:val="002144C3"/>
    <w:rsid w:val="00284AF3"/>
    <w:rsid w:val="002D0286"/>
    <w:rsid w:val="002D42EC"/>
    <w:rsid w:val="003320B2"/>
    <w:rsid w:val="00336DD5"/>
    <w:rsid w:val="00365B5E"/>
    <w:rsid w:val="003A552F"/>
    <w:rsid w:val="003C65DD"/>
    <w:rsid w:val="00402836"/>
    <w:rsid w:val="00406517"/>
    <w:rsid w:val="00412ABF"/>
    <w:rsid w:val="00422BE7"/>
    <w:rsid w:val="004577CE"/>
    <w:rsid w:val="004814C1"/>
    <w:rsid w:val="00492278"/>
    <w:rsid w:val="004B1828"/>
    <w:rsid w:val="004B1D0E"/>
    <w:rsid w:val="004F245A"/>
    <w:rsid w:val="004F5115"/>
    <w:rsid w:val="0053044C"/>
    <w:rsid w:val="00535853"/>
    <w:rsid w:val="0055616F"/>
    <w:rsid w:val="005673AB"/>
    <w:rsid w:val="0060049D"/>
    <w:rsid w:val="00623740"/>
    <w:rsid w:val="006323F6"/>
    <w:rsid w:val="00637EB4"/>
    <w:rsid w:val="00650CBB"/>
    <w:rsid w:val="006B29EB"/>
    <w:rsid w:val="007249BA"/>
    <w:rsid w:val="007362E6"/>
    <w:rsid w:val="007504A9"/>
    <w:rsid w:val="007659E3"/>
    <w:rsid w:val="00792AE0"/>
    <w:rsid w:val="007E029B"/>
    <w:rsid w:val="00827D63"/>
    <w:rsid w:val="00844D45"/>
    <w:rsid w:val="00856286"/>
    <w:rsid w:val="008737D7"/>
    <w:rsid w:val="008F3831"/>
    <w:rsid w:val="008F39EF"/>
    <w:rsid w:val="0090407A"/>
    <w:rsid w:val="009336BA"/>
    <w:rsid w:val="00995D55"/>
    <w:rsid w:val="009A103C"/>
    <w:rsid w:val="009E37D4"/>
    <w:rsid w:val="009E75FA"/>
    <w:rsid w:val="00A102E8"/>
    <w:rsid w:val="00A421D9"/>
    <w:rsid w:val="00A52AC0"/>
    <w:rsid w:val="00A6676C"/>
    <w:rsid w:val="00A920BE"/>
    <w:rsid w:val="00AC7E73"/>
    <w:rsid w:val="00AF518B"/>
    <w:rsid w:val="00B436D2"/>
    <w:rsid w:val="00BC1ABB"/>
    <w:rsid w:val="00BC42D5"/>
    <w:rsid w:val="00C7314C"/>
    <w:rsid w:val="00C9045D"/>
    <w:rsid w:val="00CA053E"/>
    <w:rsid w:val="00CA313C"/>
    <w:rsid w:val="00D34F0E"/>
    <w:rsid w:val="00D410E5"/>
    <w:rsid w:val="00D71008"/>
    <w:rsid w:val="00E178D3"/>
    <w:rsid w:val="00E24AC1"/>
    <w:rsid w:val="00E34F3B"/>
    <w:rsid w:val="00E75833"/>
    <w:rsid w:val="00EA78F2"/>
    <w:rsid w:val="00EB2F7A"/>
    <w:rsid w:val="00F64685"/>
    <w:rsid w:val="00F7051F"/>
    <w:rsid w:val="00F91FC5"/>
    <w:rsid w:val="00FA1D96"/>
    <w:rsid w:val="00FC35F0"/>
    <w:rsid w:val="00FC6CC2"/>
    <w:rsid w:val="00FC7595"/>
    <w:rsid w:val="038F71C9"/>
    <w:rsid w:val="06EB6E0C"/>
    <w:rsid w:val="08C276F9"/>
    <w:rsid w:val="0BB2614A"/>
    <w:rsid w:val="124A70DD"/>
    <w:rsid w:val="13ED41C3"/>
    <w:rsid w:val="14123C2A"/>
    <w:rsid w:val="157331F5"/>
    <w:rsid w:val="164C2CF7"/>
    <w:rsid w:val="16BF34C9"/>
    <w:rsid w:val="185D2F9A"/>
    <w:rsid w:val="1C0F4EF3"/>
    <w:rsid w:val="23056708"/>
    <w:rsid w:val="262D555D"/>
    <w:rsid w:val="282D214E"/>
    <w:rsid w:val="289F315B"/>
    <w:rsid w:val="2B4324C3"/>
    <w:rsid w:val="2F3565C7"/>
    <w:rsid w:val="31A812D2"/>
    <w:rsid w:val="383B2EA0"/>
    <w:rsid w:val="38CF35E8"/>
    <w:rsid w:val="3E7501A3"/>
    <w:rsid w:val="3EBC3ACD"/>
    <w:rsid w:val="3FD61700"/>
    <w:rsid w:val="41EE4ADF"/>
    <w:rsid w:val="4214206C"/>
    <w:rsid w:val="43B966FA"/>
    <w:rsid w:val="4B410375"/>
    <w:rsid w:val="4C82117A"/>
    <w:rsid w:val="4CBD292D"/>
    <w:rsid w:val="4E6D76D3"/>
    <w:rsid w:val="4FE6773D"/>
    <w:rsid w:val="5325232B"/>
    <w:rsid w:val="54CE3199"/>
    <w:rsid w:val="55014ECB"/>
    <w:rsid w:val="55BD2CEE"/>
    <w:rsid w:val="575925A3"/>
    <w:rsid w:val="575E22AF"/>
    <w:rsid w:val="58DA5965"/>
    <w:rsid w:val="600532C8"/>
    <w:rsid w:val="605C4EB2"/>
    <w:rsid w:val="6085265B"/>
    <w:rsid w:val="61BC0D8B"/>
    <w:rsid w:val="63B25672"/>
    <w:rsid w:val="659F41BF"/>
    <w:rsid w:val="6A6634FD"/>
    <w:rsid w:val="6BA6238C"/>
    <w:rsid w:val="6EFF0B6F"/>
    <w:rsid w:val="6FE02585"/>
    <w:rsid w:val="750162FC"/>
    <w:rsid w:val="75D51537"/>
    <w:rsid w:val="769E5DCD"/>
    <w:rsid w:val="7C055BF5"/>
    <w:rsid w:val="7C790E6E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numPr>
        <w:ilvl w:val="0"/>
        <w:numId w:val="1"/>
      </w:numPr>
      <w:tabs>
        <w:tab w:val="left" w:pos="1302"/>
        <w:tab w:val="clear" w:pos="1134"/>
      </w:tabs>
      <w:ind w:firstLine="658"/>
      <w:outlineLvl w:val="0"/>
    </w:pPr>
    <w:rPr>
      <w:rFonts w:eastAsia="方正黑体_GBK"/>
      <w:szCs w:val="21"/>
    </w:rPr>
  </w:style>
  <w:style w:type="paragraph" w:styleId="4">
    <w:name w:val="heading 2"/>
    <w:basedOn w:val="1"/>
    <w:next w:val="3"/>
    <w:qFormat/>
    <w:uiPriority w:val="0"/>
    <w:pPr>
      <w:numPr>
        <w:ilvl w:val="0"/>
        <w:numId w:val="2"/>
      </w:numPr>
      <w:tabs>
        <w:tab w:val="left" w:pos="1624"/>
        <w:tab w:val="clear" w:pos="810"/>
      </w:tabs>
      <w:ind w:firstLine="658"/>
      <w:outlineLvl w:val="1"/>
    </w:pPr>
    <w:rPr>
      <w:rFonts w:ascii="宋体-18030" w:hAnsi="宋体-18030" w:eastAsia="方正楷体_GBK" w:cs="宋体-18030"/>
      <w:szCs w:val="32"/>
    </w:rPr>
  </w:style>
  <w:style w:type="paragraph" w:styleId="5">
    <w:name w:val="heading 3"/>
    <w:basedOn w:val="1"/>
    <w:next w:val="3"/>
    <w:qFormat/>
    <w:uiPriority w:val="0"/>
    <w:pPr>
      <w:numPr>
        <w:ilvl w:val="0"/>
        <w:numId w:val="3"/>
      </w:numPr>
      <w:tabs>
        <w:tab w:val="left" w:pos="1134"/>
      </w:tabs>
      <w:outlineLvl w:val="2"/>
    </w:pPr>
    <w:rPr>
      <w:szCs w:val="21"/>
    </w:rPr>
  </w:style>
  <w:style w:type="paragraph" w:styleId="6">
    <w:name w:val="heading 4"/>
    <w:basedOn w:val="1"/>
    <w:next w:val="3"/>
    <w:qFormat/>
    <w:uiPriority w:val="0"/>
    <w:pPr>
      <w:numPr>
        <w:ilvl w:val="0"/>
        <w:numId w:val="4"/>
      </w:numPr>
      <w:tabs>
        <w:tab w:val="left" w:pos="1456"/>
        <w:tab w:val="clear" w:pos="800"/>
      </w:tabs>
      <w:outlineLvl w:val="3"/>
    </w:pPr>
    <w:rPr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200" w:firstLineChars="200"/>
    </w:pPr>
    <w:rPr>
      <w:szCs w:val="21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  <w:rPr>
      <w:szCs w:val="21"/>
    </w:rPr>
  </w:style>
  <w:style w:type="paragraph" w:styleId="8">
    <w:name w:val="Body Text Indent"/>
    <w:basedOn w:val="1"/>
    <w:qFormat/>
    <w:uiPriority w:val="0"/>
    <w:pPr>
      <w:spacing w:line="288" w:lineRule="auto"/>
      <w:ind w:left="960" w:hanging="960" w:hangingChars="300"/>
    </w:pPr>
    <w:rPr>
      <w:rFonts w:eastAsia="方正仿宋_GBK"/>
      <w:bCs/>
      <w:sz w:val="32"/>
      <w:szCs w:val="30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line="300" w:lineRule="auto"/>
      <w:ind w:left="1598" w:leftChars="304" w:hanging="960" w:hangingChars="300"/>
    </w:pPr>
    <w:rPr>
      <w:rFonts w:eastAsia="方正仿宋_GBK"/>
      <w:sz w:val="32"/>
      <w:szCs w:val="32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napToGrid w:val="0"/>
      <w:spacing w:line="324" w:lineRule="auto"/>
      <w:ind w:firstLine="640" w:firstLineChars="200"/>
    </w:pPr>
    <w:rPr>
      <w:rFonts w:eastAsia="方正仿宋_GBK"/>
      <w:sz w:val="32"/>
      <w:szCs w:val="32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next w:val="1"/>
    <w:qFormat/>
    <w:uiPriority w:val="0"/>
    <w:pPr>
      <w:jc w:val="center"/>
      <w:outlineLvl w:val="0"/>
    </w:pPr>
    <w:rPr>
      <w:rFonts w:eastAsia="方正小标宋_GBK"/>
      <w:sz w:val="44"/>
      <w:szCs w:val="21"/>
    </w:rPr>
  </w:style>
  <w:style w:type="table" w:styleId="19">
    <w:name w:val="Table Grid"/>
    <w:basedOn w:val="18"/>
    <w:qFormat/>
    <w:uiPriority w:val="3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customStyle="1" w:styleId="22">
    <w:name w:val="标题 1 Char Char"/>
    <w:basedOn w:val="20"/>
    <w:qFormat/>
    <w:uiPriority w:val="0"/>
    <w:rPr>
      <w:rFonts w:eastAsia="方正黑体_GBK"/>
      <w:kern w:val="2"/>
      <w:sz w:val="21"/>
      <w:szCs w:val="21"/>
      <w:lang w:val="en-US" w:eastAsia="zh-CN" w:bidi="ar-SA"/>
    </w:rPr>
  </w:style>
  <w:style w:type="character" w:customStyle="1" w:styleId="23">
    <w:name w:val="标题 2 Char"/>
    <w:basedOn w:val="20"/>
    <w:qFormat/>
    <w:uiPriority w:val="0"/>
    <w:rPr>
      <w:rFonts w:ascii="宋体-18030" w:hAnsi="宋体-18030" w:eastAsia="方正楷体_GBK" w:cs="宋体-18030"/>
      <w:kern w:val="2"/>
      <w:sz w:val="21"/>
      <w:szCs w:val="32"/>
      <w:lang w:val="en-US" w:eastAsia="zh-CN" w:bidi="ar-SA"/>
    </w:rPr>
  </w:style>
  <w:style w:type="paragraph" w:customStyle="1" w:styleId="24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5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Char Char"/>
    <w:basedOn w:val="20"/>
    <w:qFormat/>
    <w:uiPriority w:val="0"/>
    <w:rPr>
      <w:rFonts w:eastAsia="方正小标宋_GBK"/>
      <w:kern w:val="2"/>
      <w:sz w:val="44"/>
      <w:szCs w:val="21"/>
      <w:lang w:val="en-US" w:eastAsia="zh-CN" w:bidi="ar-SA"/>
    </w:rPr>
  </w:style>
  <w:style w:type="paragraph" w:customStyle="1" w:styleId="27">
    <w:name w:val="次标题"/>
    <w:basedOn w:val="17"/>
    <w:next w:val="1"/>
    <w:qFormat/>
    <w:uiPriority w:val="0"/>
    <w:pPr>
      <w:spacing w:line="720" w:lineRule="auto"/>
    </w:pPr>
    <w:rPr>
      <w:rFonts w:eastAsia="楷体_GB2312"/>
      <w:sz w:val="32"/>
    </w:rPr>
  </w:style>
  <w:style w:type="character" w:customStyle="1" w:styleId="28">
    <w:name w:val="x_content1"/>
    <w:basedOn w:val="20"/>
    <w:qFormat/>
    <w:uiPriority w:val="0"/>
    <w:rPr>
      <w:rFonts w:hint="default" w:ascii="ˎ̥" w:hAnsi="ˎ̥"/>
      <w:color w:val="000000"/>
      <w:spacing w:val="18"/>
      <w:sz w:val="20"/>
      <w:szCs w:val="20"/>
    </w:rPr>
  </w:style>
  <w:style w:type="paragraph" w:customStyle="1" w:styleId="29">
    <w:name w:val="Char Char Char Char Char Char Char"/>
    <w:basedOn w:val="7"/>
    <w:autoRedefine/>
    <w:qFormat/>
    <w:uiPriority w:val="0"/>
    <w:rPr>
      <w:rFonts w:ascii="Tahoma" w:hAnsi="Tahoma"/>
      <w:sz w:val="24"/>
      <w:szCs w:val="24"/>
    </w:rPr>
  </w:style>
  <w:style w:type="character" w:customStyle="1" w:styleId="30">
    <w:name w:val="apple-converted-space"/>
    <w:basedOn w:val="20"/>
    <w:qFormat/>
    <w:uiPriority w:val="0"/>
  </w:style>
  <w:style w:type="paragraph" w:customStyle="1" w:styleId="31">
    <w:name w:val="发文字号"/>
    <w:basedOn w:val="1"/>
    <w:qFormat/>
    <w:uiPriority w:val="99"/>
    <w:pPr>
      <w:jc w:val="center"/>
    </w:pPr>
    <w:rPr>
      <w:rFonts w:eastAsia="仿宋_GB2312"/>
      <w:sz w:val="32"/>
      <w:szCs w:val="20"/>
    </w:rPr>
  </w:style>
  <w:style w:type="paragraph" w:customStyle="1" w:styleId="32">
    <w:name w:val="Char Char Char Char Char Char Char Char Char Char"/>
    <w:basedOn w:val="1"/>
    <w:qFormat/>
    <w:uiPriority w:val="0"/>
    <w:rPr>
      <w:szCs w:val="20"/>
    </w:rPr>
  </w:style>
  <w:style w:type="character" w:customStyle="1" w:styleId="33">
    <w:name w:val="页脚 Char"/>
    <w:basedOn w:val="20"/>
    <w:link w:val="13"/>
    <w:qFormat/>
    <w:uiPriority w:val="99"/>
    <w:rPr>
      <w:kern w:val="2"/>
      <w:sz w:val="18"/>
      <w:szCs w:val="18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35">
    <w:name w:val="发文机关标识"/>
    <w:basedOn w:val="1"/>
    <w:qFormat/>
    <w:uiPriority w:val="99"/>
    <w:pPr>
      <w:spacing w:line="1300" w:lineRule="exact"/>
      <w:jc w:val="distribute"/>
    </w:pPr>
    <w:rPr>
      <w:rFonts w:ascii="仿宋_GB2312" w:eastAsia="方正小标宋简体"/>
      <w:b/>
      <w:color w:val="FF0000"/>
      <w:spacing w:val="-60"/>
      <w:w w:val="66"/>
      <w:kern w:val="0"/>
      <w:sz w:val="1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D4E1-D4A5-4656-90BC-F85521E62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572</Words>
  <Characters>619</Characters>
  <Lines>42</Lines>
  <Paragraphs>12</Paragraphs>
  <TotalTime>1634</TotalTime>
  <ScaleCrop>false</ScaleCrop>
  <LinksUpToDate>false</LinksUpToDate>
  <CharactersWithSpaces>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2024-12-27T02:09:00Z</dcterms:created>
  <dc:creator>*</dc:creator>
  <cp:lastModifiedBy>    一片海° </cp:lastModifiedBy>
  <cp:lastPrinted>2025-01-07T07:10:00Z</cp:lastPrinted>
  <dcterms:modified xsi:type="dcterms:W3CDTF">2025-01-17T06:09:27Z</dcterms:modified>
  <dc:title>2009年7月全市突发公共事件信息报告情况通报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eyJoZGlkIjoiYjZmZGZjYmZiNjc2YmNlODg3ODAyYmUxYzE1ZjM2YjUiLCJ1c2VySWQiOiIyMjgxNzUyNDQifQ==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78236CBE3E884D40998D72B379394AD2_12</vt:lpwstr>
  </property>
</Properties>
</file>