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cs="Arial"/>
          <w:b/>
          <w:bCs/>
          <w:color w:val="000000"/>
          <w:kern w:val="36"/>
          <w:sz w:val="44"/>
          <w:szCs w:val="44"/>
        </w:rPr>
      </w:pPr>
      <w:r>
        <w:rPr>
          <w:rFonts w:hint="eastAsia" w:ascii="方正小标宋简体" w:eastAsia="方正小标宋简体" w:cs="Arial"/>
          <w:b/>
          <w:bCs/>
          <w:color w:val="000000"/>
          <w:kern w:val="36"/>
          <w:sz w:val="44"/>
          <w:szCs w:val="44"/>
          <w:lang w:val="en-US" w:eastAsia="zh-CN"/>
        </w:rPr>
        <w:t>江苏省</w:t>
      </w:r>
      <w:r>
        <w:rPr>
          <w:rFonts w:hint="eastAsia" w:ascii="方正小标宋简体" w:eastAsia="方正小标宋简体" w:cs="Arial"/>
          <w:b/>
          <w:bCs/>
          <w:color w:val="000000"/>
          <w:kern w:val="36"/>
          <w:sz w:val="44"/>
          <w:szCs w:val="44"/>
        </w:rPr>
        <w:t>南京市</w:t>
      </w:r>
      <w:r>
        <w:rPr>
          <w:rFonts w:hint="eastAsia" w:ascii="方正小标宋简体" w:eastAsia="方正小标宋简体" w:cs="Arial"/>
          <w:b/>
          <w:bCs/>
          <w:color w:val="000000"/>
          <w:kern w:val="36"/>
          <w:sz w:val="44"/>
          <w:szCs w:val="44"/>
          <w:lang w:val="en-US" w:eastAsia="zh-CN"/>
        </w:rPr>
        <w:t>浦口</w:t>
      </w:r>
      <w:r>
        <w:rPr>
          <w:rFonts w:hint="eastAsia" w:ascii="方正小标宋简体" w:eastAsia="方正小标宋简体" w:cs="Arial"/>
          <w:b/>
          <w:bCs/>
          <w:color w:val="000000"/>
          <w:kern w:val="36"/>
          <w:sz w:val="44"/>
          <w:szCs w:val="44"/>
        </w:rPr>
        <w:t>区气象局</w:t>
      </w:r>
    </w:p>
    <w:p>
      <w:pPr>
        <w:spacing w:line="600" w:lineRule="exact"/>
        <w:jc w:val="center"/>
        <w:rPr>
          <w:rFonts w:ascii="方正小标宋简体" w:eastAsia="方正小标宋简体"/>
          <w:sz w:val="44"/>
          <w:szCs w:val="44"/>
        </w:rPr>
      </w:pPr>
      <w:r>
        <w:rPr>
          <w:rFonts w:hint="eastAsia" w:ascii="方正小标宋简体" w:eastAsia="方正小标宋简体" w:cs="Arial"/>
          <w:b/>
          <w:bCs/>
          <w:color w:val="000000"/>
          <w:kern w:val="36"/>
          <w:sz w:val="44"/>
          <w:szCs w:val="44"/>
        </w:rPr>
        <w:t>202</w:t>
      </w:r>
      <w:r>
        <w:rPr>
          <w:rFonts w:hint="eastAsia" w:ascii="方正小标宋简体" w:eastAsia="方正小标宋简体" w:cs="Arial"/>
          <w:b/>
          <w:bCs/>
          <w:color w:val="000000"/>
          <w:kern w:val="36"/>
          <w:sz w:val="44"/>
          <w:szCs w:val="44"/>
          <w:lang w:val="en-US" w:eastAsia="zh-CN"/>
        </w:rPr>
        <w:t>4</w:t>
      </w:r>
      <w:r>
        <w:rPr>
          <w:rFonts w:hint="eastAsia" w:ascii="方正小标宋简体" w:eastAsia="方正小标宋简体" w:cs="Arial"/>
          <w:b/>
          <w:bCs/>
          <w:color w:val="000000"/>
          <w:kern w:val="36"/>
          <w:sz w:val="44"/>
          <w:szCs w:val="44"/>
        </w:rPr>
        <w:t>年政府信息公开工作年度报告</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本报告根据《中华人民共和国政府信息公开条例》要求编制，统计期限自202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rPr>
        <w:t>年12月31日止。全文包括总体情况、主动公开政府信息的情况、收到和处理政府信息公开申请情况、政府信息公开工作申请行政复议、提起行政诉讼情况、政府信息公开工作存在问题、改进情况以及其他需要报告的事项。如对报告有任何疑问，请与南京市</w:t>
      </w:r>
      <w:r>
        <w:rPr>
          <w:rFonts w:hint="eastAsia" w:ascii="仿宋_GB2312" w:hAnsi="仿宋_GB2312" w:eastAsia="仿宋_GB2312" w:cs="仿宋_GB2312"/>
          <w:sz w:val="32"/>
          <w:szCs w:val="32"/>
          <w:lang w:val="en-US" w:eastAsia="zh-CN"/>
        </w:rPr>
        <w:t>浦口</w:t>
      </w:r>
      <w:r>
        <w:rPr>
          <w:rFonts w:hint="eastAsia" w:ascii="仿宋_GB2312" w:hAnsi="仿宋_GB2312" w:eastAsia="仿宋_GB2312" w:cs="仿宋_GB2312"/>
          <w:sz w:val="32"/>
          <w:szCs w:val="32"/>
        </w:rPr>
        <w:t>区气象局联系（办公地址：南京市</w:t>
      </w:r>
      <w:r>
        <w:rPr>
          <w:rFonts w:hint="eastAsia" w:ascii="仿宋_GB2312" w:hAnsi="仿宋_GB2312" w:eastAsia="仿宋_GB2312" w:cs="仿宋_GB2312"/>
          <w:sz w:val="32"/>
          <w:szCs w:val="32"/>
          <w:lang w:val="en-US" w:eastAsia="zh-CN"/>
        </w:rPr>
        <w:t>浦口</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沿山大道236</w:t>
      </w:r>
      <w:r>
        <w:rPr>
          <w:rFonts w:hint="eastAsia" w:ascii="仿宋_GB2312" w:hAnsi="仿宋_GB2312" w:eastAsia="仿宋_GB2312" w:cs="仿宋_GB2312"/>
          <w:sz w:val="32"/>
          <w:szCs w:val="32"/>
        </w:rPr>
        <w:t>号，联系电话：025-5</w:t>
      </w:r>
      <w:r>
        <w:rPr>
          <w:rFonts w:hint="eastAsia" w:ascii="仿宋_GB2312" w:hAnsi="仿宋_GB2312" w:eastAsia="仿宋_GB2312" w:cs="仿宋_GB2312"/>
          <w:sz w:val="32"/>
          <w:szCs w:val="32"/>
          <w:lang w:val="en-US" w:eastAsia="zh-CN"/>
        </w:rPr>
        <w:t>8186817</w:t>
      </w:r>
      <w:r>
        <w:rPr>
          <w:rFonts w:hint="eastAsia" w:ascii="仿宋_GB2312" w:hAnsi="仿宋_GB2312" w:eastAsia="仿宋_GB2312" w:cs="仿宋_GB2312"/>
          <w:sz w:val="32"/>
          <w:szCs w:val="32"/>
        </w:rPr>
        <w:t>）</w:t>
      </w:r>
    </w:p>
    <w:p>
      <w:pPr>
        <w:spacing w:line="300" w:lineRule="auto"/>
        <w:rPr>
          <w:rFonts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一、总体情况</w:t>
      </w:r>
    </w:p>
    <w:p>
      <w:pPr>
        <w:spacing w:line="300" w:lineRule="auto"/>
        <w:ind w:firstLine="643" w:firstLineChars="200"/>
        <w:rPr>
          <w:rFonts w:ascii="仿宋_GB2312" w:eastAsia="仿宋_GB2312"/>
          <w:sz w:val="32"/>
          <w:szCs w:val="32"/>
        </w:rPr>
      </w:pPr>
      <w:r>
        <w:rPr>
          <w:rFonts w:hint="eastAsia" w:ascii="仿宋_GB2312" w:eastAsia="仿宋_GB2312"/>
          <w:b/>
          <w:bCs/>
          <w:color w:val="auto"/>
          <w:sz w:val="32"/>
          <w:szCs w:val="32"/>
        </w:rPr>
        <w:t>（一）主动公开情况。</w:t>
      </w:r>
      <w:r>
        <w:rPr>
          <w:rFonts w:hint="eastAsia" w:ascii="仿宋_GB2312" w:eastAsia="仿宋_GB2312"/>
          <w:sz w:val="32"/>
          <w:szCs w:val="32"/>
          <w:lang w:val="en-US" w:eastAsia="zh-CN"/>
        </w:rPr>
        <w:t>2024年</w:t>
      </w:r>
      <w:r>
        <w:rPr>
          <w:rFonts w:ascii="仿宋_GB2312" w:eastAsia="仿宋_GB2312"/>
          <w:sz w:val="32"/>
          <w:szCs w:val="32"/>
        </w:rPr>
        <w:t>，</w:t>
      </w:r>
      <w:r>
        <w:rPr>
          <w:rFonts w:hint="eastAsia" w:ascii="仿宋_GB2312" w:eastAsia="仿宋_GB2312"/>
          <w:sz w:val="32"/>
          <w:szCs w:val="32"/>
          <w:lang w:val="en-US" w:eastAsia="zh-CN"/>
        </w:rPr>
        <w:t>浦口区气象局</w:t>
      </w:r>
      <w:r>
        <w:rPr>
          <w:rFonts w:ascii="仿宋_GB2312" w:eastAsia="仿宋_GB2312"/>
          <w:sz w:val="32"/>
          <w:szCs w:val="32"/>
        </w:rPr>
        <w:t>通过江苏省气象政务管理信息系统</w:t>
      </w:r>
      <w:r>
        <w:rPr>
          <w:rFonts w:hint="eastAsia" w:ascii="仿宋_GB2312" w:eastAsia="仿宋_GB2312"/>
          <w:sz w:val="32"/>
          <w:szCs w:val="32"/>
          <w:lang w:eastAsia="zh-CN"/>
        </w:rPr>
        <w:t>、</w:t>
      </w:r>
      <w:r>
        <w:rPr>
          <w:rFonts w:hint="eastAsia" w:ascii="仿宋_GB2312" w:eastAsia="仿宋_GB2312"/>
          <w:sz w:val="32"/>
          <w:szCs w:val="32"/>
          <w:lang w:val="en-US" w:eastAsia="zh-CN"/>
        </w:rPr>
        <w:t>浦口区人民政府门户网站</w:t>
      </w:r>
      <w:r>
        <w:rPr>
          <w:rFonts w:ascii="仿宋_GB2312" w:eastAsia="仿宋_GB2312"/>
          <w:sz w:val="32"/>
          <w:szCs w:val="32"/>
        </w:rPr>
        <w:t>动态信息公开，多方位展示我局工作职能、工作动态及工作成效，共发布各类信息</w:t>
      </w:r>
      <w:r>
        <w:rPr>
          <w:rFonts w:hint="eastAsia" w:ascii="仿宋_GB2312" w:eastAsia="仿宋_GB2312"/>
          <w:color w:val="auto"/>
          <w:sz w:val="32"/>
          <w:szCs w:val="32"/>
          <w:lang w:val="en-US" w:eastAsia="zh-CN"/>
        </w:rPr>
        <w:t>72</w:t>
      </w:r>
      <w:r>
        <w:rPr>
          <w:rFonts w:ascii="仿宋_GB2312" w:eastAsia="仿宋_GB2312"/>
          <w:color w:val="auto"/>
          <w:sz w:val="32"/>
          <w:szCs w:val="32"/>
        </w:rPr>
        <w:t>条。利用</w:t>
      </w:r>
      <w:r>
        <w:rPr>
          <w:rFonts w:hint="eastAsia" w:ascii="仿宋_GB2312" w:eastAsia="仿宋_GB2312"/>
          <w:color w:val="auto"/>
          <w:sz w:val="32"/>
          <w:szCs w:val="32"/>
        </w:rPr>
        <w:t>全局会议、</w:t>
      </w:r>
      <w:r>
        <w:rPr>
          <w:rFonts w:ascii="仿宋_GB2312" w:eastAsia="仿宋_GB2312"/>
          <w:color w:val="auto"/>
          <w:sz w:val="32"/>
          <w:szCs w:val="32"/>
        </w:rPr>
        <w:t>单位公示栏</w:t>
      </w:r>
      <w:r>
        <w:rPr>
          <w:rFonts w:hint="eastAsia" w:ascii="仿宋_GB2312" w:eastAsia="仿宋_GB2312"/>
          <w:color w:val="auto"/>
          <w:sz w:val="32"/>
          <w:szCs w:val="32"/>
        </w:rPr>
        <w:t>等方式</w:t>
      </w:r>
      <w:r>
        <w:rPr>
          <w:rFonts w:ascii="仿宋_GB2312" w:eastAsia="仿宋_GB2312"/>
          <w:color w:val="auto"/>
          <w:sz w:val="32"/>
          <w:szCs w:val="32"/>
        </w:rPr>
        <w:t>主动公开信息</w:t>
      </w:r>
      <w:r>
        <w:rPr>
          <w:rFonts w:hint="eastAsia" w:ascii="仿宋_GB2312" w:eastAsia="仿宋_GB2312"/>
          <w:color w:val="auto"/>
          <w:sz w:val="32"/>
          <w:szCs w:val="32"/>
          <w:lang w:val="en-US" w:eastAsia="zh-CN"/>
        </w:rPr>
        <w:t>39</w:t>
      </w:r>
      <w:r>
        <w:rPr>
          <w:rFonts w:ascii="仿宋_GB2312" w:eastAsia="仿宋_GB2312"/>
          <w:color w:val="auto"/>
          <w:sz w:val="32"/>
          <w:szCs w:val="32"/>
        </w:rPr>
        <w:t>条。在</w:t>
      </w:r>
      <w:r>
        <w:rPr>
          <w:rFonts w:ascii="仿宋_GB2312" w:eastAsia="仿宋_GB2312"/>
          <w:sz w:val="32"/>
          <w:szCs w:val="32"/>
        </w:rPr>
        <w:t>主动公开的信息中，主要包括各类业务文件、年度重点工作安排、人事任免通知、财务信息等。</w:t>
      </w:r>
      <w:r>
        <w:rPr>
          <w:rFonts w:hint="eastAsia" w:ascii="仿宋_GB2312" w:eastAsia="仿宋_GB2312"/>
          <w:sz w:val="32"/>
          <w:szCs w:val="32"/>
        </w:rPr>
        <w:t>围绕重点改革和制度创新、气象现代化建设、气象防灾减灾、生态文明建设气象保障、气象助力乡村振兴</w:t>
      </w:r>
      <w:r>
        <w:rPr>
          <w:rFonts w:hint="eastAsia" w:ascii="仿宋_GB2312" w:eastAsia="仿宋_GB2312"/>
          <w:sz w:val="32"/>
          <w:szCs w:val="32"/>
          <w:lang w:eastAsia="zh-CN"/>
        </w:rPr>
        <w:t>、</w:t>
      </w:r>
      <w:r>
        <w:rPr>
          <w:rFonts w:hint="eastAsia" w:ascii="仿宋_GB2312" w:eastAsia="仿宋_GB2312"/>
          <w:sz w:val="32"/>
          <w:szCs w:val="32"/>
        </w:rPr>
        <w:t>气象法治建设等重点工作，积极做好相关领域的政府信息公开工作，进一步拓展和规范政策文件、事业单位人员招聘、财政资金、招标采购、行政审批事项、科技项目情况等重点领域信息公开，丰富主动公开内容。</w:t>
      </w:r>
      <w:r>
        <w:rPr>
          <w:rFonts w:ascii="仿宋_GB2312" w:eastAsia="仿宋_GB2312"/>
          <w:sz w:val="32"/>
          <w:szCs w:val="32"/>
        </w:rPr>
        <w:t>根据行业特点，加强气象预报预警信息发布</w:t>
      </w:r>
      <w:r>
        <w:rPr>
          <w:rFonts w:hint="eastAsia" w:ascii="仿宋_GB2312" w:eastAsia="仿宋_GB2312"/>
          <w:sz w:val="32"/>
          <w:szCs w:val="32"/>
          <w:lang w:eastAsia="zh-CN"/>
        </w:rPr>
        <w:t>，</w:t>
      </w:r>
      <w:r>
        <w:rPr>
          <w:rFonts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年度针对区域性短时强降水、雷暴大风等强对流天气，暴雪、寒潮、大风、大雾以及台风外围影响，发布《重要天气报告》、《专项气象服务》等各类气象决策服务材料</w:t>
      </w:r>
      <w:r>
        <w:rPr>
          <w:rFonts w:hint="eastAsia" w:ascii="仿宋_GB2312" w:eastAsia="仿宋_GB2312"/>
          <w:sz w:val="32"/>
          <w:szCs w:val="32"/>
          <w:lang w:val="en-US" w:eastAsia="zh-CN"/>
        </w:rPr>
        <w:t>70</w:t>
      </w:r>
      <w:r>
        <w:rPr>
          <w:rFonts w:ascii="仿宋_GB2312" w:eastAsia="仿宋_GB2312"/>
          <w:sz w:val="32"/>
          <w:szCs w:val="32"/>
        </w:rPr>
        <w:t>余期，气候预测、周报等</w:t>
      </w:r>
      <w:r>
        <w:rPr>
          <w:rFonts w:hint="eastAsia" w:ascii="仿宋_GB2312" w:eastAsia="仿宋_GB2312"/>
          <w:sz w:val="32"/>
          <w:szCs w:val="32"/>
          <w:lang w:val="en-US" w:eastAsia="zh-CN"/>
        </w:rPr>
        <w:t>53</w:t>
      </w:r>
      <w:r>
        <w:rPr>
          <w:rFonts w:ascii="仿宋_GB2312" w:eastAsia="仿宋_GB2312"/>
          <w:sz w:val="32"/>
          <w:szCs w:val="32"/>
        </w:rPr>
        <w:t>期，农业气象服务材料4</w:t>
      </w:r>
      <w:r>
        <w:rPr>
          <w:rFonts w:hint="eastAsia" w:ascii="仿宋_GB2312" w:eastAsia="仿宋_GB2312"/>
          <w:sz w:val="32"/>
          <w:szCs w:val="32"/>
          <w:lang w:val="en-US" w:eastAsia="zh-CN"/>
        </w:rPr>
        <w:t>9</w:t>
      </w:r>
      <w:r>
        <w:rPr>
          <w:rFonts w:ascii="仿宋_GB2312" w:eastAsia="仿宋_GB2312"/>
          <w:sz w:val="32"/>
          <w:szCs w:val="32"/>
        </w:rPr>
        <w:t>期，发布气象灾害预警信号</w:t>
      </w:r>
      <w:r>
        <w:rPr>
          <w:rFonts w:hint="eastAsia" w:ascii="仿宋_GB2312" w:eastAsia="仿宋_GB2312"/>
          <w:sz w:val="32"/>
          <w:szCs w:val="32"/>
          <w:lang w:val="en-US" w:eastAsia="zh-CN"/>
        </w:rPr>
        <w:t>117</w:t>
      </w:r>
      <w:r>
        <w:rPr>
          <w:rFonts w:ascii="仿宋_GB2312" w:eastAsia="仿宋_GB2312"/>
          <w:sz w:val="32"/>
          <w:szCs w:val="32"/>
        </w:rPr>
        <w:t>次，发送防御责任人预警服务短信超</w:t>
      </w:r>
      <w:r>
        <w:rPr>
          <w:rFonts w:hint="eastAsia" w:ascii="仿宋_GB2312" w:eastAsia="仿宋_GB2312"/>
          <w:sz w:val="32"/>
          <w:szCs w:val="32"/>
          <w:lang w:val="en-US" w:eastAsia="zh-CN"/>
        </w:rPr>
        <w:t>94</w:t>
      </w:r>
      <w:r>
        <w:rPr>
          <w:rFonts w:ascii="仿宋_GB2312" w:eastAsia="仿宋_GB2312"/>
          <w:sz w:val="32"/>
          <w:szCs w:val="32"/>
        </w:rPr>
        <w:t>万人次，协同应急、水务等部门发布预警、防范提醒</w:t>
      </w:r>
      <w:r>
        <w:rPr>
          <w:rFonts w:hint="eastAsia" w:ascii="仿宋_GB2312" w:eastAsia="仿宋_GB2312"/>
          <w:sz w:val="32"/>
          <w:szCs w:val="32"/>
          <w:lang w:val="en-US" w:eastAsia="zh-CN"/>
        </w:rPr>
        <w:t>3</w:t>
      </w:r>
      <w:r>
        <w:rPr>
          <w:rFonts w:ascii="仿宋_GB2312" w:eastAsia="仿宋_GB2312"/>
          <w:sz w:val="32"/>
          <w:szCs w:val="32"/>
        </w:rPr>
        <w:t>次，预警“吹哨”作用发挥。电视台采访</w:t>
      </w:r>
      <w:r>
        <w:rPr>
          <w:rFonts w:hint="eastAsia" w:ascii="仿宋_GB2312" w:eastAsia="仿宋_GB2312"/>
          <w:sz w:val="32"/>
          <w:szCs w:val="32"/>
          <w:lang w:val="en-US" w:eastAsia="zh-CN"/>
        </w:rPr>
        <w:t>34</w:t>
      </w:r>
      <w:r>
        <w:rPr>
          <w:rFonts w:ascii="仿宋_GB2312" w:eastAsia="仿宋_GB2312"/>
          <w:sz w:val="32"/>
          <w:szCs w:val="32"/>
        </w:rPr>
        <w:t>次，在“</w:t>
      </w:r>
      <w:r>
        <w:rPr>
          <w:rFonts w:hint="eastAsia" w:ascii="仿宋_GB2312" w:eastAsia="仿宋_GB2312"/>
          <w:sz w:val="32"/>
          <w:szCs w:val="32"/>
          <w:lang w:val="en-US" w:eastAsia="zh-CN"/>
        </w:rPr>
        <w:t>浦口</w:t>
      </w:r>
      <w:r>
        <w:rPr>
          <w:rFonts w:ascii="仿宋_GB2312" w:eastAsia="仿宋_GB2312"/>
          <w:sz w:val="32"/>
          <w:szCs w:val="32"/>
        </w:rPr>
        <w:t>气象”新浪微博上发布信息</w:t>
      </w:r>
      <w:r>
        <w:rPr>
          <w:rFonts w:hint="eastAsia" w:ascii="仿宋_GB2312" w:eastAsia="仿宋_GB2312"/>
          <w:sz w:val="32"/>
          <w:szCs w:val="32"/>
          <w:lang w:val="en-US" w:eastAsia="zh-CN"/>
        </w:rPr>
        <w:t>1662</w:t>
      </w:r>
      <w:r>
        <w:rPr>
          <w:rFonts w:ascii="仿宋_GB2312" w:eastAsia="仿宋_GB2312"/>
          <w:sz w:val="32"/>
          <w:szCs w:val="32"/>
        </w:rPr>
        <w:t>条，阅读量</w:t>
      </w:r>
      <w:r>
        <w:rPr>
          <w:rFonts w:hint="eastAsia" w:ascii="仿宋_GB2312" w:eastAsia="仿宋_GB2312"/>
          <w:sz w:val="32"/>
          <w:szCs w:val="32"/>
          <w:lang w:val="en-US" w:eastAsia="zh-CN"/>
        </w:rPr>
        <w:t>约220</w:t>
      </w:r>
      <w:r>
        <w:rPr>
          <w:rFonts w:ascii="仿宋_GB2312" w:eastAsia="仿宋_GB2312"/>
          <w:sz w:val="32"/>
          <w:szCs w:val="32"/>
        </w:rPr>
        <w:t>万人次；通过手机短信发送服务信息</w:t>
      </w:r>
      <w:r>
        <w:rPr>
          <w:rFonts w:hint="eastAsia" w:ascii="仿宋_GB2312" w:eastAsia="仿宋_GB2312"/>
          <w:sz w:val="32"/>
          <w:szCs w:val="32"/>
          <w:lang w:val="en-US" w:eastAsia="zh-CN"/>
        </w:rPr>
        <w:t>788</w:t>
      </w:r>
      <w:r>
        <w:rPr>
          <w:rFonts w:ascii="仿宋_GB2312" w:eastAsia="仿宋_GB2312"/>
          <w:sz w:val="32"/>
          <w:szCs w:val="32"/>
        </w:rPr>
        <w:t>条，发送人次</w:t>
      </w:r>
      <w:r>
        <w:rPr>
          <w:rFonts w:hint="eastAsia" w:ascii="仿宋_GB2312" w:eastAsia="仿宋_GB2312"/>
          <w:sz w:val="32"/>
          <w:szCs w:val="32"/>
          <w:lang w:val="en-US" w:eastAsia="zh-CN"/>
        </w:rPr>
        <w:t>约630</w:t>
      </w:r>
      <w:r>
        <w:rPr>
          <w:rFonts w:ascii="仿宋_GB2312" w:eastAsia="仿宋_GB2312"/>
          <w:sz w:val="32"/>
          <w:szCs w:val="32"/>
        </w:rPr>
        <w:t>万人次；通过抖音发布短视频</w:t>
      </w:r>
      <w:r>
        <w:rPr>
          <w:rFonts w:hint="eastAsia" w:ascii="仿宋_GB2312" w:eastAsia="仿宋_GB2312"/>
          <w:sz w:val="32"/>
          <w:szCs w:val="32"/>
          <w:lang w:val="en-US" w:eastAsia="zh-CN"/>
        </w:rPr>
        <w:t>180</w:t>
      </w:r>
      <w:r>
        <w:rPr>
          <w:rFonts w:ascii="仿宋_GB2312" w:eastAsia="仿宋_GB2312"/>
          <w:sz w:val="32"/>
          <w:szCs w:val="32"/>
        </w:rPr>
        <w:t>条，阅读量</w:t>
      </w:r>
      <w:r>
        <w:rPr>
          <w:rFonts w:hint="eastAsia" w:ascii="仿宋_GB2312" w:eastAsia="仿宋_GB2312"/>
          <w:sz w:val="32"/>
          <w:szCs w:val="32"/>
          <w:lang w:val="en-US" w:eastAsia="zh-CN"/>
        </w:rPr>
        <w:t>约3.1</w:t>
      </w:r>
      <w:r>
        <w:rPr>
          <w:rFonts w:ascii="仿宋_GB2312" w:eastAsia="仿宋_GB2312"/>
          <w:sz w:val="32"/>
          <w:szCs w:val="32"/>
        </w:rPr>
        <w:t>万人次。</w:t>
      </w:r>
    </w:p>
    <w:p>
      <w:pPr>
        <w:spacing w:line="300" w:lineRule="auto"/>
        <w:ind w:firstLine="643" w:firstLineChars="200"/>
        <w:rPr>
          <w:rFonts w:hint="eastAsia" w:ascii="仿宋_GB2312" w:eastAsia="仿宋_GB2312"/>
          <w:sz w:val="32"/>
          <w:szCs w:val="32"/>
        </w:rPr>
      </w:pPr>
      <w:r>
        <w:rPr>
          <w:rFonts w:ascii="仿宋_GB2312" w:eastAsia="仿宋_GB2312"/>
          <w:b/>
          <w:bCs/>
          <w:sz w:val="32"/>
          <w:szCs w:val="32"/>
        </w:rPr>
        <w:t>（</w:t>
      </w:r>
      <w:r>
        <w:rPr>
          <w:rFonts w:hint="eastAsia" w:ascii="仿宋_GB2312" w:eastAsia="仿宋_GB2312"/>
          <w:b/>
          <w:bCs/>
          <w:sz w:val="32"/>
          <w:szCs w:val="32"/>
          <w:lang w:val="en-US" w:eastAsia="zh-CN"/>
        </w:rPr>
        <w:t>二</w:t>
      </w:r>
      <w:r>
        <w:rPr>
          <w:rFonts w:ascii="仿宋_GB2312" w:eastAsia="仿宋_GB2312"/>
          <w:b/>
          <w:bCs/>
          <w:sz w:val="32"/>
          <w:szCs w:val="32"/>
        </w:rPr>
        <w:t>）</w:t>
      </w:r>
      <w:r>
        <w:rPr>
          <w:rFonts w:hint="eastAsia" w:ascii="仿宋_GB2312" w:eastAsia="仿宋_GB2312"/>
          <w:b/>
          <w:bCs/>
          <w:color w:val="auto"/>
          <w:sz w:val="32"/>
          <w:szCs w:val="32"/>
        </w:rPr>
        <w:t>依申请公开办理工作。</w:t>
      </w:r>
      <w:r>
        <w:rPr>
          <w:rFonts w:hint="eastAsia" w:ascii="仿宋_GB2312" w:eastAsia="仿宋_GB2312"/>
          <w:sz w:val="32"/>
          <w:szCs w:val="32"/>
        </w:rPr>
        <w:t>按照新修订的《中华人民共和国政府信息公开条例》精神，进一步规范依申请公开工作，提升依法办理水平和办理效率，做到件件有着落、事事有回应，努力满足申请人需求，切实保障公民、法人和其他组织获取气象部门政府信息的权益。</w:t>
      </w:r>
    </w:p>
    <w:p>
      <w:pPr>
        <w:widowControl/>
        <w:shd w:val="clear" w:color="auto" w:fill="FFFFFF"/>
        <w:spacing w:line="540" w:lineRule="exact"/>
        <w:ind w:firstLine="643" w:firstLineChars="200"/>
        <w:jc w:val="left"/>
        <w:rPr>
          <w:rFonts w:ascii="Times New Roman" w:hAnsi="方正仿宋_GBK" w:eastAsia="方正仿宋_GBK" w:cs="Times New Roman"/>
          <w:sz w:val="32"/>
          <w:szCs w:val="32"/>
        </w:rPr>
      </w:pPr>
      <w:r>
        <w:rPr>
          <w:rFonts w:hint="eastAsia" w:ascii="仿宋_GB2312" w:eastAsia="仿宋_GB2312"/>
          <w:b/>
          <w:bCs/>
          <w:color w:val="auto"/>
          <w:sz w:val="32"/>
          <w:szCs w:val="32"/>
        </w:rPr>
        <w:t>（三）</w:t>
      </w:r>
      <w:r>
        <w:rPr>
          <w:rFonts w:hint="eastAsia" w:ascii="仿宋_GB2312" w:eastAsia="仿宋_GB2312"/>
          <w:b/>
          <w:bCs/>
          <w:color w:val="auto"/>
          <w:sz w:val="32"/>
          <w:szCs w:val="32"/>
          <w:lang w:val="en-US" w:eastAsia="zh-CN"/>
        </w:rPr>
        <w:t>政府信息管理情况</w:t>
      </w:r>
      <w:r>
        <w:rPr>
          <w:rFonts w:hint="eastAsia" w:ascii="仿宋_GB2312" w:eastAsia="仿宋_GB2312"/>
          <w:b/>
          <w:bCs/>
          <w:color w:val="auto"/>
          <w:sz w:val="32"/>
          <w:szCs w:val="32"/>
        </w:rPr>
        <w:t>。</w:t>
      </w:r>
      <w:r>
        <w:rPr>
          <w:rFonts w:hint="default" w:ascii="仿宋_GB2312" w:eastAsia="仿宋_GB2312"/>
          <w:sz w:val="32"/>
          <w:szCs w:val="32"/>
        </w:rPr>
        <w:t>建立健全信息收集、审查、处置机制。</w:t>
      </w:r>
      <w:r>
        <w:rPr>
          <w:rFonts w:hint="eastAsia" w:ascii="仿宋_GB2312" w:eastAsia="仿宋_GB2312"/>
          <w:sz w:val="32"/>
          <w:szCs w:val="32"/>
          <w:lang w:val="en-US" w:eastAsia="zh-CN"/>
        </w:rPr>
        <w:t>严格执行</w:t>
      </w:r>
      <w:r>
        <w:rPr>
          <w:rFonts w:hint="default" w:ascii="仿宋_GB2312" w:eastAsia="仿宋_GB2312"/>
          <w:sz w:val="32"/>
          <w:szCs w:val="32"/>
        </w:rPr>
        <w:t>三级审批制度，</w:t>
      </w:r>
      <w:r>
        <w:rPr>
          <w:rFonts w:hint="eastAsia" w:ascii="仿宋_GB2312" w:eastAsia="仿宋_GB2312"/>
          <w:sz w:val="32"/>
          <w:szCs w:val="32"/>
        </w:rPr>
        <w:t>所有信息必须经过</w:t>
      </w:r>
      <w:r>
        <w:rPr>
          <w:rFonts w:hint="eastAsia" w:ascii="仿宋_GB2312" w:eastAsia="仿宋_GB2312"/>
          <w:sz w:val="32"/>
          <w:szCs w:val="32"/>
          <w:lang w:eastAsia="zh-CN"/>
        </w:rPr>
        <w:t>责任科室</w:t>
      </w:r>
      <w:r>
        <w:rPr>
          <w:rFonts w:hint="eastAsia" w:ascii="仿宋_GB2312" w:eastAsia="仿宋_GB2312"/>
          <w:sz w:val="32"/>
          <w:szCs w:val="32"/>
        </w:rPr>
        <w:t>负责人、分管领导、主要领导审核签发后，方可网上发布，</w:t>
      </w:r>
      <w:r>
        <w:rPr>
          <w:rFonts w:hint="eastAsia" w:ascii="仿宋_GB2312" w:eastAsia="仿宋_GB2312"/>
          <w:sz w:val="32"/>
          <w:szCs w:val="32"/>
          <w:lang w:val="en-US" w:eastAsia="zh-CN"/>
        </w:rPr>
        <w:t>做到</w:t>
      </w:r>
      <w:r>
        <w:rPr>
          <w:rFonts w:hint="eastAsia" w:ascii="仿宋_GB2312" w:eastAsia="仿宋_GB2312"/>
          <w:sz w:val="32"/>
          <w:szCs w:val="32"/>
        </w:rPr>
        <w:t>“保密信息不上网、上网信息不涉密”，做到政务公开工作规范化、标准化、信息化</w:t>
      </w:r>
      <w:r>
        <w:rPr>
          <w:rFonts w:hint="eastAsia" w:ascii="仿宋_GB2312" w:eastAsia="仿宋_GB2312"/>
          <w:sz w:val="32"/>
          <w:szCs w:val="32"/>
          <w:lang w:eastAsia="zh-CN"/>
        </w:rPr>
        <w:t>，</w:t>
      </w:r>
      <w:r>
        <w:rPr>
          <w:rFonts w:hint="eastAsia" w:ascii="仿宋_GB2312" w:eastAsia="仿宋_GB2312"/>
          <w:sz w:val="32"/>
          <w:szCs w:val="32"/>
        </w:rPr>
        <w:t>确保发布内容准确、权威、及时。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left"/>
        <w:rPr>
          <w:rFonts w:hint="default" w:ascii="仿宋_GB2312" w:eastAsia="仿宋_GB2312"/>
          <w:sz w:val="32"/>
          <w:szCs w:val="32"/>
          <w:lang w:val="en-US" w:eastAsia="zh-CN"/>
        </w:rPr>
      </w:pPr>
      <w:r>
        <w:rPr>
          <w:rFonts w:hint="eastAsia" w:ascii="仿宋_GB2312" w:eastAsia="仿宋_GB2312"/>
          <w:b/>
          <w:sz w:val="32"/>
          <w:szCs w:val="32"/>
        </w:rPr>
        <w:t>（四）</w:t>
      </w:r>
      <w:r>
        <w:rPr>
          <w:rFonts w:hint="eastAsia" w:ascii="仿宋_GB2312" w:eastAsia="仿宋_GB2312"/>
          <w:b/>
          <w:sz w:val="32"/>
          <w:szCs w:val="32"/>
          <w:lang w:val="en-US" w:eastAsia="zh-CN"/>
        </w:rPr>
        <w:t>政府信息公开平台建设情况</w:t>
      </w:r>
      <w:r>
        <w:rPr>
          <w:rFonts w:hint="eastAsia" w:ascii="仿宋_GB2312" w:eastAsia="仿宋_GB2312"/>
          <w:b/>
          <w:sz w:val="32"/>
          <w:szCs w:val="32"/>
        </w:rPr>
        <w:t>。</w:t>
      </w:r>
      <w:r>
        <w:rPr>
          <w:rFonts w:hint="eastAsia" w:ascii="仿宋_GB2312" w:eastAsia="仿宋_GB2312"/>
          <w:sz w:val="32"/>
          <w:szCs w:val="32"/>
          <w:lang w:val="en-US" w:eastAsia="zh-CN"/>
        </w:rPr>
        <w:t>一是通过江</w:t>
      </w:r>
      <w:r>
        <w:rPr>
          <w:rFonts w:ascii="仿宋_GB2312" w:eastAsia="仿宋_GB2312"/>
          <w:sz w:val="32"/>
          <w:szCs w:val="32"/>
        </w:rPr>
        <w:t>苏省气象政务管理信息系统</w:t>
      </w:r>
      <w:r>
        <w:rPr>
          <w:rFonts w:hint="eastAsia" w:ascii="仿宋_GB2312" w:eastAsia="仿宋_GB2312"/>
          <w:sz w:val="32"/>
          <w:szCs w:val="32"/>
          <w:lang w:eastAsia="zh-CN"/>
        </w:rPr>
        <w:t>、</w:t>
      </w:r>
      <w:r>
        <w:rPr>
          <w:rFonts w:hint="eastAsia" w:ascii="仿宋_GB2312" w:eastAsia="仿宋_GB2312"/>
          <w:sz w:val="32"/>
          <w:szCs w:val="32"/>
          <w:lang w:val="en-US" w:eastAsia="zh-CN"/>
        </w:rPr>
        <w:t>浦口区人民政府门户网站区气象局子栏</w:t>
      </w:r>
      <w:r>
        <w:rPr>
          <w:rFonts w:hint="default" w:ascii="仿宋_GB2312" w:eastAsia="仿宋_GB2312"/>
          <w:sz w:val="32"/>
          <w:szCs w:val="32"/>
        </w:rPr>
        <w:t>发</w:t>
      </w:r>
      <w:r>
        <w:rPr>
          <w:rFonts w:hint="default" w:ascii="仿宋_GB2312" w:eastAsia="仿宋_GB2312"/>
          <w:sz w:val="32"/>
          <w:szCs w:val="32"/>
          <w:lang w:val="en-US" w:eastAsia="zh-CN"/>
        </w:rPr>
        <w:t>布最新工作动态等相关内容</w:t>
      </w:r>
      <w:r>
        <w:rPr>
          <w:rFonts w:hint="eastAsia" w:ascii="仿宋_GB2312" w:eastAsia="仿宋_GB2312"/>
          <w:sz w:val="32"/>
          <w:szCs w:val="32"/>
          <w:lang w:eastAsia="zh-CN"/>
        </w:rPr>
        <w:t>。</w:t>
      </w:r>
      <w:r>
        <w:rPr>
          <w:rFonts w:hint="eastAsia" w:ascii="仿宋_GB2312" w:eastAsia="仿宋_GB2312"/>
          <w:sz w:val="32"/>
          <w:szCs w:val="32"/>
          <w:lang w:val="en-US" w:eastAsia="zh-CN"/>
        </w:rPr>
        <w:t>二是通过</w:t>
      </w:r>
      <w:r>
        <w:rPr>
          <w:rFonts w:hint="default" w:ascii="仿宋_GB2312" w:eastAsia="仿宋_GB2312"/>
          <w:sz w:val="32"/>
          <w:szCs w:val="32"/>
          <w:lang w:val="en-US" w:eastAsia="zh-CN"/>
        </w:rPr>
        <w:t>接受区融媒体中心采访，向全区广大电视观众及时传播最新气象预报预警信息和天气变化趋势。</w:t>
      </w:r>
      <w:r>
        <w:rPr>
          <w:rFonts w:hint="eastAsia" w:ascii="仿宋_GB2312" w:eastAsia="仿宋_GB2312"/>
          <w:sz w:val="32"/>
          <w:szCs w:val="32"/>
          <w:lang w:val="en-US" w:eastAsia="zh-CN"/>
        </w:rPr>
        <w:t>三是</w:t>
      </w:r>
      <w:r>
        <w:rPr>
          <w:rFonts w:hint="default" w:ascii="仿宋_GB2312" w:eastAsia="仿宋_GB2312"/>
          <w:sz w:val="32"/>
          <w:szCs w:val="32"/>
          <w:lang w:val="en-US" w:eastAsia="zh-CN"/>
        </w:rPr>
        <w:t>以“3.23世界气象日”、“安全生产</w:t>
      </w:r>
      <w:r>
        <w:rPr>
          <w:rFonts w:hint="eastAsia" w:ascii="仿宋_GB2312" w:eastAsia="仿宋_GB2312"/>
          <w:sz w:val="32"/>
          <w:szCs w:val="32"/>
          <w:lang w:val="en-US" w:eastAsia="zh-CN"/>
        </w:rPr>
        <w:t>月</w:t>
      </w:r>
      <w:r>
        <w:rPr>
          <w:rFonts w:hint="default" w:ascii="仿宋_GB2312" w:eastAsia="仿宋_GB2312"/>
          <w:sz w:val="32"/>
          <w:szCs w:val="32"/>
          <w:lang w:val="en-US" w:eastAsia="zh-CN"/>
        </w:rPr>
        <w:t>”、“5.12防灾减灾日”、“科普宣传周”、“</w:t>
      </w:r>
      <w:r>
        <w:rPr>
          <w:rFonts w:hint="eastAsia" w:ascii="仿宋_GB2312" w:eastAsia="仿宋_GB2312"/>
          <w:sz w:val="32"/>
          <w:szCs w:val="32"/>
          <w:lang w:val="en-US" w:eastAsia="zh-CN"/>
        </w:rPr>
        <w:t>宪法</w:t>
      </w:r>
      <w:r>
        <w:rPr>
          <w:rFonts w:hint="default" w:ascii="仿宋_GB2312" w:eastAsia="仿宋_GB2312"/>
          <w:sz w:val="32"/>
          <w:szCs w:val="32"/>
          <w:lang w:val="en-US" w:eastAsia="zh-CN"/>
        </w:rPr>
        <w:t>宣传</w:t>
      </w:r>
      <w:r>
        <w:rPr>
          <w:rFonts w:hint="eastAsia" w:ascii="仿宋_GB2312" w:eastAsia="仿宋_GB2312"/>
          <w:sz w:val="32"/>
          <w:szCs w:val="32"/>
          <w:lang w:val="en-US" w:eastAsia="zh-CN"/>
        </w:rPr>
        <w:t>周</w:t>
      </w:r>
      <w:r>
        <w:rPr>
          <w:rFonts w:hint="default" w:ascii="仿宋_GB2312" w:eastAsia="仿宋_GB2312"/>
          <w:sz w:val="32"/>
          <w:szCs w:val="32"/>
          <w:lang w:val="en-US" w:eastAsia="zh-CN"/>
        </w:rPr>
        <w:t>”等专题活动为载体全方位开展气象宣传，搭建“气象云科普”平台，受众人群超过十万人次，发放气象宣传资料近万份。</w:t>
      </w:r>
      <w:r>
        <w:rPr>
          <w:rFonts w:hint="eastAsia" w:ascii="仿宋_GB2312" w:eastAsia="仿宋_GB2312"/>
          <w:sz w:val="32"/>
          <w:szCs w:val="32"/>
          <w:lang w:val="en-US" w:eastAsia="zh-CN"/>
        </w:rPr>
        <w:t>四是通过新媒体相关平台不断完善</w:t>
      </w:r>
      <w:r>
        <w:rPr>
          <w:rFonts w:hint="default" w:ascii="仿宋_GB2312" w:eastAsia="仿宋_GB2312"/>
          <w:sz w:val="32"/>
          <w:szCs w:val="32"/>
          <w:lang w:val="en-US" w:eastAsia="zh-CN"/>
        </w:rPr>
        <w:t>气象信息服务，复杂天气背景下提供递进式气象预报预警服务，</w:t>
      </w:r>
      <w:r>
        <w:rPr>
          <w:rFonts w:hint="eastAsia" w:ascii="仿宋_GB2312" w:eastAsia="仿宋_GB2312"/>
          <w:sz w:val="32"/>
          <w:szCs w:val="32"/>
          <w:lang w:val="en-US" w:eastAsia="zh-CN"/>
        </w:rPr>
        <w:t>做到</w:t>
      </w:r>
      <w:r>
        <w:rPr>
          <w:rFonts w:hint="default" w:ascii="仿宋_GB2312" w:eastAsia="仿宋_GB2312"/>
          <w:sz w:val="32"/>
          <w:szCs w:val="32"/>
          <w:lang w:val="en-US" w:eastAsia="zh-CN"/>
        </w:rPr>
        <w:t>预报精细精准。</w:t>
      </w:r>
      <w:r>
        <w:rPr>
          <w:rFonts w:hint="eastAsia" w:ascii="仿宋_GB2312" w:eastAsia="仿宋_GB2312"/>
          <w:sz w:val="32"/>
          <w:szCs w:val="32"/>
          <w:lang w:val="en-US" w:eastAsia="zh-CN"/>
        </w:rPr>
        <w:t>同时</w:t>
      </w:r>
      <w:r>
        <w:rPr>
          <w:rFonts w:hint="default" w:ascii="仿宋_GB2312" w:eastAsia="仿宋_GB2312"/>
          <w:sz w:val="32"/>
          <w:szCs w:val="32"/>
          <w:lang w:val="en-US" w:eastAsia="zh-CN"/>
        </w:rPr>
        <w:t>与区融媒体中心“浦口发布”微信公众号及APP形成互动，及时传播各类气象信息，进一步有效拓展信息公开方式。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default" w:ascii="Arial" w:hAnsi="Arial" w:cs="Arial"/>
          <w:i w:val="0"/>
          <w:iCs w:val="0"/>
          <w:caps w:val="0"/>
          <w:color w:val="666666"/>
          <w:spacing w:val="0"/>
          <w:sz w:val="19"/>
          <w:szCs w:val="19"/>
        </w:rPr>
      </w:pPr>
      <w:r>
        <w:rPr>
          <w:rFonts w:hint="eastAsia" w:ascii="仿宋_GB2312" w:eastAsia="仿宋_GB2312"/>
          <w:b/>
          <w:sz w:val="32"/>
          <w:szCs w:val="32"/>
        </w:rPr>
        <w:t>（</w:t>
      </w:r>
      <w:r>
        <w:rPr>
          <w:rFonts w:hint="eastAsia" w:ascii="仿宋_GB2312" w:eastAsia="仿宋_GB2312"/>
          <w:b/>
          <w:sz w:val="32"/>
          <w:szCs w:val="32"/>
          <w:lang w:val="en-US" w:eastAsia="zh-CN"/>
        </w:rPr>
        <w:t>五</w:t>
      </w:r>
      <w:r>
        <w:rPr>
          <w:rFonts w:hint="eastAsia" w:ascii="仿宋_GB2312" w:eastAsia="仿宋_GB2312"/>
          <w:b/>
          <w:sz w:val="32"/>
          <w:szCs w:val="32"/>
        </w:rPr>
        <w:t>）</w:t>
      </w:r>
      <w:r>
        <w:rPr>
          <w:rFonts w:hint="eastAsia" w:ascii="仿宋_GB2312" w:eastAsia="仿宋_GB2312"/>
          <w:b/>
          <w:sz w:val="32"/>
          <w:szCs w:val="32"/>
          <w:lang w:val="en-US" w:eastAsia="zh-CN"/>
        </w:rPr>
        <w:t>监督保障情况</w:t>
      </w:r>
      <w:r>
        <w:rPr>
          <w:rFonts w:hint="eastAsia" w:ascii="仿宋_GB2312" w:eastAsia="仿宋_GB2312"/>
          <w:b/>
          <w:sz w:val="32"/>
          <w:szCs w:val="32"/>
        </w:rPr>
        <w:t>。</w:t>
      </w:r>
      <w:r>
        <w:rPr>
          <w:rFonts w:hint="default" w:ascii="仿宋_GB2312" w:eastAsia="仿宋_GB2312"/>
          <w:sz w:val="32"/>
          <w:szCs w:val="32"/>
          <w:lang w:val="en-US" w:eastAsia="zh-CN"/>
        </w:rPr>
        <w:t>规范主动公开、依申请公开流程，明确各部门（科室）工作职责和任务分工，强化制度保障。积极学习政务公开新条例，积极参加上级部门组织的政务公开工作培训，确保规范办理信息公开工作。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本年</w:t>
            </w:r>
            <w:r>
              <w:rPr>
                <w:rFonts w:ascii="宋体" w:hAnsi="宋体" w:cs="宋体"/>
                <w:kern w:val="0"/>
                <w:sz w:val="20"/>
                <w:szCs w:val="20"/>
              </w:rPr>
              <w:t>制</w:t>
            </w:r>
            <w:r>
              <w:rPr>
                <w:rFonts w:hint="eastAsia" w:ascii="宋体" w:hAnsi="宋体" w:cs="宋体"/>
                <w:kern w:val="0"/>
                <w:sz w:val="20"/>
                <w:szCs w:val="20"/>
              </w:rPr>
              <w:t>发件</w:t>
            </w:r>
            <w:r>
              <w:rPr>
                <w:rFonts w:ascii="宋体" w:hAnsi="宋体" w:cs="宋体"/>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现行有效件</w:t>
            </w:r>
            <w:r>
              <w:rPr>
                <w:rFonts w:ascii="宋体" w:hAnsi="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lang w:eastAsia="zh-CN"/>
              </w:rPr>
            </w:pPr>
            <w:r>
              <w:rPr>
                <w:rFonts w:hint="eastAsia" w:ascii="Calibri" w:hAnsi="Calibri" w:cs="宋体"/>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ascii="Calibri" w:hAnsi="Calibri" w:cs="宋体"/>
                <w:kern w:val="0"/>
                <w:szCs w:val="21"/>
              </w:rPr>
              <w:t> </w:t>
            </w:r>
            <w:r>
              <w:rPr>
                <w:rFonts w:hint="eastAsia" w:ascii="Calibri" w:hAnsi="Calibri" w:cs="宋体"/>
                <w:kern w:val="0"/>
                <w:szCs w:val="21"/>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lang w:eastAsia="zh-CN"/>
              </w:rPr>
            </w:pPr>
            <w:r>
              <w:rPr>
                <w:rFonts w:hint="eastAsia" w:ascii="Calibri" w:hAnsi="Calibri" w:cs="宋体"/>
                <w:kern w:val="0"/>
                <w:szCs w:val="21"/>
                <w:lang w:val="en-US" w:eastAsia="zh-CN"/>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4"/>
              </w:rPr>
              <w:t>0</w:t>
            </w:r>
          </w:p>
        </w:tc>
      </w:tr>
    </w:tbl>
    <w:p>
      <w:pPr>
        <w:widowControl/>
        <w:ind w:firstLine="320" w:firstLineChars="100"/>
        <w:jc w:val="left"/>
        <w:rPr>
          <w:rFonts w:hint="eastAsia" w:ascii="黑体" w:hAnsi="黑体" w:eastAsia="黑体"/>
          <w:sz w:val="32"/>
          <w:szCs w:val="32"/>
        </w:rPr>
      </w:pPr>
    </w:p>
    <w:p>
      <w:pPr>
        <w:widowControl/>
        <w:numPr>
          <w:ilvl w:val="0"/>
          <w:numId w:val="1"/>
        </w:numPr>
        <w:ind w:firstLine="320" w:firstLineChars="100"/>
        <w:jc w:val="left"/>
        <w:rPr>
          <w:rFonts w:hint="eastAsia" w:ascii="黑体" w:hAnsi="黑体" w:eastAsia="黑体"/>
          <w:sz w:val="32"/>
          <w:szCs w:val="32"/>
        </w:rPr>
      </w:pPr>
      <w:r>
        <w:rPr>
          <w:rFonts w:hint="eastAsia" w:ascii="黑体" w:hAnsi="黑体" w:eastAsia="黑体"/>
          <w:sz w:val="32"/>
          <w:szCs w:val="32"/>
        </w:rPr>
        <w:t>收到和处理政府信息公开申请情况</w:t>
      </w:r>
    </w:p>
    <w:tbl>
      <w:tblPr>
        <w:tblStyle w:val="7"/>
        <w:tblW w:w="9418" w:type="dxa"/>
        <w:jc w:val="center"/>
        <w:tblLayout w:type="autofit"/>
        <w:tblCellMar>
          <w:top w:w="0" w:type="dxa"/>
          <w:left w:w="0" w:type="dxa"/>
          <w:bottom w:w="0" w:type="dxa"/>
          <w:right w:w="0" w:type="dxa"/>
        </w:tblCellMar>
      </w:tblPr>
      <w:tblGrid>
        <w:gridCol w:w="564"/>
        <w:gridCol w:w="943"/>
        <w:gridCol w:w="3220"/>
        <w:gridCol w:w="688"/>
        <w:gridCol w:w="688"/>
        <w:gridCol w:w="688"/>
        <w:gridCol w:w="688"/>
        <w:gridCol w:w="688"/>
        <w:gridCol w:w="688"/>
        <w:gridCol w:w="563"/>
      </w:tblGrid>
      <w:tr>
        <w:tblPrEx>
          <w:tblCellMar>
            <w:top w:w="0" w:type="dxa"/>
            <w:left w:w="0" w:type="dxa"/>
            <w:bottom w:w="0" w:type="dxa"/>
            <w:right w:w="0" w:type="dxa"/>
          </w:tblCellMar>
        </w:tblPrEx>
        <w:trPr>
          <w:jc w:val="center"/>
        </w:trPr>
        <w:tc>
          <w:tcPr>
            <w:tcW w:w="4727"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0"/>
                <w:szCs w:val="20"/>
              </w:rPr>
              <w:t>（本列数据的勾稽关系为：第一项加第二项之和，等于第三项加第四项之和）</w:t>
            </w:r>
          </w:p>
        </w:tc>
        <w:tc>
          <w:tcPr>
            <w:tcW w:w="4691"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申请人情况</w:t>
            </w:r>
          </w:p>
        </w:tc>
      </w:tr>
      <w:tr>
        <w:tblPrEx>
          <w:tblCellMar>
            <w:top w:w="0" w:type="dxa"/>
            <w:left w:w="0" w:type="dxa"/>
            <w:bottom w:w="0" w:type="dxa"/>
            <w:right w:w="0" w:type="dxa"/>
          </w:tblCellMar>
        </w:tblPrEx>
        <w:trPr>
          <w:jc w:val="center"/>
        </w:trPr>
        <w:tc>
          <w:tcPr>
            <w:tcW w:w="4727"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法人或其他组织</w:t>
            </w:r>
          </w:p>
        </w:tc>
        <w:tc>
          <w:tcPr>
            <w:tcW w:w="563"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总计</w:t>
            </w:r>
          </w:p>
        </w:tc>
      </w:tr>
      <w:tr>
        <w:tblPrEx>
          <w:tblCellMar>
            <w:top w:w="0" w:type="dxa"/>
            <w:left w:w="0" w:type="dxa"/>
            <w:bottom w:w="0" w:type="dxa"/>
            <w:right w:w="0" w:type="dxa"/>
          </w:tblCellMar>
        </w:tblPrEx>
        <w:trPr>
          <w:jc w:val="center"/>
        </w:trPr>
        <w:tc>
          <w:tcPr>
            <w:tcW w:w="4727"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0" w:lineRule="atLeast"/>
              <w:jc w:val="center"/>
              <w:rPr>
                <w:rFonts w:ascii="宋体" w:hAnsi="宋体" w:cs="宋体"/>
                <w:kern w:val="0"/>
                <w:sz w:val="24"/>
              </w:rPr>
            </w:pPr>
            <w:r>
              <w:rPr>
                <w:rFonts w:hint="eastAsia" w:ascii="宋体" w:hAnsi="宋体" w:cs="宋体"/>
                <w:kern w:val="0"/>
                <w:sz w:val="20"/>
                <w:szCs w:val="20"/>
              </w:rPr>
              <w:t>商业</w:t>
            </w:r>
          </w:p>
          <w:p>
            <w:pPr>
              <w:widowControl/>
              <w:spacing w:line="0" w:lineRule="atLeast"/>
              <w:jc w:val="center"/>
              <w:rPr>
                <w:rFonts w:ascii="宋体" w:hAnsi="宋体" w:cs="宋体"/>
                <w:kern w:val="0"/>
                <w:sz w:val="24"/>
              </w:rPr>
            </w:pPr>
            <w:r>
              <w:rPr>
                <w:rFonts w:hint="eastAsia" w:ascii="宋体" w:hAnsi="宋体" w:cs="宋体"/>
                <w:kern w:val="0"/>
                <w:sz w:val="20"/>
                <w:szCs w:val="20"/>
              </w:rPr>
              <w:t>企业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0" w:lineRule="atLeast"/>
              <w:jc w:val="center"/>
              <w:rPr>
                <w:rFonts w:ascii="宋体" w:hAnsi="宋体" w:cs="宋体"/>
                <w:kern w:val="0"/>
                <w:sz w:val="24"/>
              </w:rPr>
            </w:pPr>
            <w:r>
              <w:rPr>
                <w:rFonts w:hint="eastAsia" w:ascii="宋体" w:hAnsi="宋体" w:cs="宋体"/>
                <w:kern w:val="0"/>
                <w:sz w:val="20"/>
                <w:szCs w:val="20"/>
              </w:rPr>
              <w:t>科研</w:t>
            </w:r>
          </w:p>
          <w:p>
            <w:pPr>
              <w:widowControl/>
              <w:spacing w:line="0" w:lineRule="atLeast"/>
              <w:jc w:val="center"/>
              <w:rPr>
                <w:rFonts w:ascii="宋体" w:hAnsi="宋体" w:cs="宋体"/>
                <w:kern w:val="0"/>
                <w:sz w:val="24"/>
              </w:rPr>
            </w:pPr>
            <w:r>
              <w:rPr>
                <w:rFonts w:hint="eastAsia" w:ascii="宋体" w:hAnsi="宋体" w:cs="宋体"/>
                <w:kern w:val="0"/>
                <w:sz w:val="20"/>
                <w:szCs w:val="20"/>
              </w:rPr>
              <w:t>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0" w:lineRule="atLeast"/>
              <w:jc w:val="center"/>
              <w:rPr>
                <w:rFonts w:ascii="宋体" w:hAnsi="宋体" w:cs="宋体"/>
                <w:kern w:val="0"/>
                <w:sz w:val="24"/>
              </w:rPr>
            </w:pPr>
            <w:r>
              <w:rPr>
                <w:rFonts w:hint="eastAsia" w:ascii="宋体" w:hAnsi="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0" w:lineRule="atLeast"/>
              <w:jc w:val="center"/>
              <w:rPr>
                <w:rFonts w:ascii="宋体" w:hAnsi="宋体" w:cs="宋体"/>
                <w:kern w:val="0"/>
                <w:sz w:val="24"/>
              </w:rPr>
            </w:pPr>
            <w:r>
              <w:rPr>
                <w:rFonts w:hint="eastAsia" w:ascii="宋体" w:hAnsi="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宋体" w:hAnsi="宋体" w:cs="宋体"/>
                <w:kern w:val="0"/>
                <w:sz w:val="20"/>
                <w:szCs w:val="20"/>
              </w:rPr>
              <w:t>其他</w:t>
            </w:r>
          </w:p>
        </w:tc>
        <w:tc>
          <w:tcPr>
            <w:tcW w:w="563" w:type="dxa"/>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jc w:val="center"/>
        </w:trPr>
        <w:tc>
          <w:tcPr>
            <w:tcW w:w="472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lang w:eastAsia="zh-CN"/>
              </w:rPr>
            </w:pPr>
            <w:r>
              <w:rPr>
                <w:rFonts w:hint="eastAsia" w:ascii="Calibri" w:hAnsi="Calibri"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lang w:eastAsia="zh-CN"/>
              </w:rPr>
            </w:pP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rPr>
          <w:jc w:val="center"/>
        </w:trPr>
        <w:tc>
          <w:tcPr>
            <w:tcW w:w="472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三、本年度办理结果</w:t>
            </w: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lang w:eastAsia="zh-CN"/>
              </w:rPr>
            </w:pPr>
            <w:r>
              <w:rPr>
                <w:rFonts w:hint="eastAsia" w:ascii="Calibri" w:hAnsi="Calibri"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lang w:eastAsia="zh-CN"/>
              </w:rPr>
            </w:pP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（三）不予公开</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（四）无法提供</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（五）不予处理</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rPr>
            </w:pPr>
            <w:r>
              <w:rPr>
                <w:rFonts w:hint="eastAsia" w:ascii="宋体" w:hAnsi="宋体" w:cs="宋体"/>
                <w:kern w:val="0"/>
                <w:sz w:val="20"/>
                <w:szCs w:val="20"/>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trHeight w:val="779" w:hRule="atLeast"/>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rPr>
            </w:pPr>
            <w:r>
              <w:rPr>
                <w:rFonts w:hint="eastAsia" w:ascii="宋体" w:hAnsi="宋体" w:cs="宋体"/>
                <w:kern w:val="0"/>
                <w:sz w:val="20"/>
                <w:szCs w:val="20"/>
              </w:rPr>
              <w:t>5.要求行政机关确认或重新出具已获取信息</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（六）其他处理</w:t>
            </w: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rPr>
            </w:pPr>
            <w:r>
              <w:rPr>
                <w:rFonts w:hint="eastAsia" w:ascii="宋体" w:hAnsi="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rPr>
            </w:pPr>
            <w:r>
              <w:rPr>
                <w:rFonts w:hint="eastAsia" w:ascii="宋体" w:hAnsi="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kern w:val="0"/>
                <w:sz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r>
      <w:tr>
        <w:tblPrEx>
          <w:tblCellMar>
            <w:top w:w="0" w:type="dxa"/>
            <w:left w:w="0" w:type="dxa"/>
            <w:bottom w:w="0" w:type="dxa"/>
            <w:right w:w="0" w:type="dxa"/>
          </w:tblCellMar>
        </w:tblPrEx>
        <w:trPr>
          <w:jc w:val="center"/>
        </w:trPr>
        <w:tc>
          <w:tcPr>
            <w:tcW w:w="564"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lang w:eastAsia="zh-CN"/>
              </w:rPr>
            </w:pPr>
            <w:r>
              <w:rPr>
                <w:rFonts w:hint="eastAsia" w:ascii="Calibri" w:hAnsi="Calibri"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lang w:eastAsia="zh-CN"/>
              </w:rPr>
            </w:pP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rPr>
          <w:jc w:val="center"/>
        </w:trPr>
        <w:tc>
          <w:tcPr>
            <w:tcW w:w="472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rPr>
            </w:pPr>
            <w:r>
              <w:rPr>
                <w:rFonts w:hint="eastAsia" w:ascii="宋体" w:hAnsi="宋体" w:cs="宋体"/>
                <w:kern w:val="0"/>
                <w:sz w:val="20"/>
                <w:szCs w:val="20"/>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rPr>
            </w:pPr>
            <w:r>
              <w:rPr>
                <w:rFonts w:hint="eastAsia" w:ascii="Calibri" w:hAnsi="Calibri" w:cs="宋体"/>
                <w:kern w:val="0"/>
                <w:sz w:val="20"/>
                <w:szCs w:val="20"/>
              </w:rPr>
              <w:t>0</w:t>
            </w:r>
          </w:p>
        </w:tc>
        <w:tc>
          <w:tcPr>
            <w:tcW w:w="56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eastAsia="宋体" w:cs="宋体"/>
                <w:kern w:val="0"/>
                <w:sz w:val="24"/>
                <w:lang w:val="en-US" w:eastAsia="zh-CN"/>
              </w:rPr>
            </w:pPr>
            <w:r>
              <w:rPr>
                <w:rFonts w:hint="eastAsia" w:ascii="Calibri" w:hAnsi="Calibri" w:cs="宋体"/>
                <w:kern w:val="0"/>
                <w:sz w:val="20"/>
                <w:szCs w:val="20"/>
                <w:lang w:val="en-US" w:eastAsia="zh-CN"/>
              </w:rPr>
              <w:t>0</w:t>
            </w:r>
          </w:p>
        </w:tc>
      </w:tr>
    </w:tbl>
    <w:p>
      <w:pPr>
        <w:widowControl/>
        <w:shd w:val="clear" w:color="auto" w:fill="FFFFFF"/>
        <w:jc w:val="center"/>
        <w:rPr>
          <w:rFonts w:ascii="宋体" w:hAnsi="宋体" w:cs="宋体"/>
          <w:color w:val="333333"/>
          <w:kern w:val="0"/>
          <w:sz w:val="24"/>
        </w:rPr>
      </w:pPr>
    </w:p>
    <w:p>
      <w:p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四、政府信息公开行政复议、行政诉讼情况</w:t>
      </w:r>
    </w:p>
    <w:tbl>
      <w:tblPr>
        <w:tblStyle w:val="7"/>
        <w:tblW w:w="9561" w:type="dxa"/>
        <w:jc w:val="center"/>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463"/>
      </w:tblGrid>
      <w:tr>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行政复议</w:t>
            </w:r>
          </w:p>
        </w:tc>
        <w:tc>
          <w:tcPr>
            <w:tcW w:w="6311"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结果</w:t>
            </w:r>
          </w:p>
          <w:p>
            <w:pPr>
              <w:widowControl/>
              <w:jc w:val="center"/>
              <w:rPr>
                <w:rFonts w:ascii="宋体" w:hAnsi="宋体" w:cs="宋体"/>
                <w:kern w:val="0"/>
                <w:sz w:val="24"/>
              </w:rPr>
            </w:pPr>
            <w:r>
              <w:rPr>
                <w:rFonts w:hint="eastAsia" w:ascii="宋体" w:hAnsi="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其他</w:t>
            </w:r>
          </w:p>
          <w:p>
            <w:pPr>
              <w:widowControl/>
              <w:jc w:val="center"/>
              <w:rPr>
                <w:rFonts w:ascii="宋体" w:hAnsi="宋体" w:cs="宋体"/>
                <w:kern w:val="0"/>
                <w:sz w:val="24"/>
              </w:rPr>
            </w:pPr>
            <w:r>
              <w:rPr>
                <w:rFonts w:hint="eastAsia" w:ascii="宋体" w:hAnsi="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尚未</w:t>
            </w:r>
          </w:p>
          <w:p>
            <w:pPr>
              <w:widowControl/>
              <w:jc w:val="center"/>
              <w:rPr>
                <w:rFonts w:ascii="宋体" w:hAnsi="宋体" w:cs="宋体"/>
                <w:kern w:val="0"/>
                <w:sz w:val="24"/>
              </w:rPr>
            </w:pPr>
            <w:r>
              <w:rPr>
                <w:rFonts w:hint="eastAsia" w:ascii="宋体" w:hAnsi="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未经复议直接起诉</w:t>
            </w:r>
          </w:p>
        </w:tc>
        <w:tc>
          <w:tcPr>
            <w:tcW w:w="306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结果</w:t>
            </w:r>
          </w:p>
          <w:p>
            <w:pPr>
              <w:widowControl/>
              <w:jc w:val="center"/>
              <w:rPr>
                <w:rFonts w:ascii="宋体" w:hAnsi="宋体" w:cs="宋体"/>
                <w:kern w:val="0"/>
                <w:sz w:val="24"/>
              </w:rPr>
            </w:pPr>
            <w:r>
              <w:rPr>
                <w:rFonts w:hint="eastAsia" w:ascii="宋体" w:hAnsi="宋体" w:cs="宋体"/>
                <w:kern w:val="0"/>
                <w:sz w:val="20"/>
                <w:szCs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结果</w:t>
            </w:r>
          </w:p>
          <w:p>
            <w:pPr>
              <w:widowControl/>
              <w:jc w:val="center"/>
              <w:rPr>
                <w:rFonts w:ascii="宋体" w:hAnsi="宋体" w:cs="宋体"/>
                <w:kern w:val="0"/>
                <w:sz w:val="24"/>
              </w:rPr>
            </w:pP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其他</w:t>
            </w:r>
          </w:p>
          <w:p>
            <w:pPr>
              <w:widowControl/>
              <w:jc w:val="center"/>
              <w:rPr>
                <w:rFonts w:ascii="宋体" w:hAnsi="宋体" w:cs="宋体"/>
                <w:kern w:val="0"/>
                <w:sz w:val="24"/>
              </w:rPr>
            </w:pP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尚未</w:t>
            </w:r>
          </w:p>
          <w:p>
            <w:pPr>
              <w:widowControl/>
              <w:jc w:val="center"/>
              <w:rPr>
                <w:rFonts w:ascii="宋体" w:hAnsi="宋体" w:cs="宋体"/>
                <w:kern w:val="0"/>
                <w:sz w:val="24"/>
              </w:rPr>
            </w:pP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结果</w:t>
            </w:r>
          </w:p>
          <w:p>
            <w:pPr>
              <w:widowControl/>
              <w:jc w:val="center"/>
              <w:rPr>
                <w:rFonts w:ascii="宋体" w:hAnsi="宋体" w:cs="宋体"/>
                <w:kern w:val="0"/>
                <w:sz w:val="24"/>
              </w:rPr>
            </w:pPr>
            <w:r>
              <w:rPr>
                <w:rFonts w:hint="eastAsia" w:ascii="宋体" w:hAnsi="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结果</w:t>
            </w:r>
          </w:p>
          <w:p>
            <w:pPr>
              <w:widowControl/>
              <w:jc w:val="center"/>
              <w:rPr>
                <w:rFonts w:ascii="宋体" w:hAnsi="宋体" w:cs="宋体"/>
                <w:kern w:val="0"/>
                <w:sz w:val="24"/>
              </w:rPr>
            </w:pP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其他</w:t>
            </w:r>
          </w:p>
          <w:p>
            <w:pPr>
              <w:widowControl/>
              <w:jc w:val="center"/>
              <w:rPr>
                <w:rFonts w:ascii="宋体" w:hAnsi="宋体" w:cs="宋体"/>
                <w:kern w:val="0"/>
                <w:sz w:val="24"/>
              </w:rPr>
            </w:pPr>
            <w:r>
              <w:rPr>
                <w:rFonts w:hint="eastAsia" w:ascii="宋体" w:hAnsi="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尚未</w:t>
            </w:r>
          </w:p>
          <w:p>
            <w:pPr>
              <w:widowControl/>
              <w:jc w:val="center"/>
              <w:rPr>
                <w:rFonts w:ascii="宋体" w:hAnsi="宋体" w:cs="宋体"/>
                <w:kern w:val="0"/>
                <w:sz w:val="24"/>
              </w:rPr>
            </w:pPr>
            <w:r>
              <w:rPr>
                <w:rFonts w:hint="eastAsia" w:ascii="宋体" w:hAnsi="宋体" w:cs="宋体"/>
                <w:kern w:val="0"/>
                <w:sz w:val="20"/>
                <w:szCs w:val="20"/>
              </w:rPr>
              <w:t>审结</w:t>
            </w:r>
          </w:p>
        </w:tc>
        <w:tc>
          <w:tcPr>
            <w:tcW w:w="4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总计</w:t>
            </w:r>
          </w:p>
        </w:tc>
      </w:tr>
      <w:tr>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c>
          <w:tcPr>
            <w:tcW w:w="4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w:t>
            </w:r>
          </w:p>
        </w:tc>
      </w:tr>
    </w:tbl>
    <w:p>
      <w:pPr>
        <w:spacing w:line="300" w:lineRule="auto"/>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300" w:lineRule="auto"/>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我局</w:t>
      </w:r>
      <w:r>
        <w:rPr>
          <w:rFonts w:hint="eastAsia" w:ascii="仿宋_GB2312" w:eastAsia="仿宋_GB2312"/>
          <w:sz w:val="32"/>
          <w:szCs w:val="32"/>
        </w:rPr>
        <w:t>政府信息公开工作虽然取得了一定成效，但仍存在一些不足之处</w:t>
      </w:r>
      <w:r>
        <w:rPr>
          <w:rFonts w:hint="eastAsia" w:ascii="仿宋_GB2312" w:eastAsia="仿宋_GB2312"/>
          <w:sz w:val="32"/>
          <w:szCs w:val="32"/>
          <w:lang w:eastAsia="zh-CN"/>
        </w:rPr>
        <w:t>，</w:t>
      </w:r>
      <w:r>
        <w:rPr>
          <w:rFonts w:hint="eastAsia" w:ascii="仿宋_GB2312" w:eastAsia="仿宋_GB2312"/>
          <w:sz w:val="32"/>
          <w:szCs w:val="32"/>
        </w:rPr>
        <w:t>如信息公开的覆盖面不全、信息公开的方式较单一等。</w:t>
      </w:r>
    </w:p>
    <w:p>
      <w:pPr>
        <w:spacing w:line="300" w:lineRule="auto"/>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的改进措施</w:t>
      </w:r>
      <w:r>
        <w:rPr>
          <w:rFonts w:hint="eastAsia" w:ascii="仿宋_GB2312" w:eastAsia="仿宋_GB2312"/>
          <w:sz w:val="32"/>
          <w:szCs w:val="32"/>
        </w:rPr>
        <w:t>，一是及时梳理各项信息公开工作并主动公开，按照“以公开为常态、不公开为例外”原则，及时公开各类信息，保障公开内容真实、具体、全面</w:t>
      </w:r>
      <w:r>
        <w:rPr>
          <w:rFonts w:hint="eastAsia" w:ascii="仿宋_GB2312" w:eastAsia="仿宋_GB2312"/>
          <w:sz w:val="32"/>
          <w:szCs w:val="32"/>
          <w:lang w:eastAsia="zh-CN"/>
        </w:rPr>
        <w:t>；</w:t>
      </w:r>
      <w:r>
        <w:rPr>
          <w:rFonts w:hint="eastAsia" w:ascii="仿宋_GB2312" w:eastAsia="仿宋_GB2312"/>
          <w:sz w:val="32"/>
          <w:szCs w:val="32"/>
        </w:rPr>
        <w:t>二是加强信息发布保密审查工作，严格落实“三审三校”制度，认真清理政府信息公开事项，对标查漏，确保应公开的政府信息依规公开。</w:t>
      </w:r>
    </w:p>
    <w:p>
      <w:pPr>
        <w:spacing w:line="300" w:lineRule="auto"/>
        <w:ind w:firstLine="640" w:firstLineChars="200"/>
        <w:rPr>
          <w:rFonts w:ascii="黑体" w:hAnsi="黑体" w:eastAsia="黑体"/>
          <w:sz w:val="32"/>
          <w:szCs w:val="32"/>
        </w:rPr>
      </w:pPr>
      <w:r>
        <w:rPr>
          <w:rFonts w:hint="eastAsia" w:ascii="黑体" w:hAnsi="黑体" w:eastAsia="黑体"/>
          <w:sz w:val="32"/>
          <w:szCs w:val="32"/>
        </w:rPr>
        <w:t>六、其他需要报告的事项</w:t>
      </w:r>
    </w:p>
    <w:p>
      <w:pPr>
        <w:spacing w:line="300" w:lineRule="auto"/>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年，我局无其他需要报告的事项，没有收取信息处理费。</w:t>
      </w:r>
    </w:p>
    <w:p>
      <w:pPr>
        <w:spacing w:line="300" w:lineRule="auto"/>
        <w:ind w:firstLine="640" w:firstLineChars="200"/>
        <w:rPr>
          <w:rFonts w:eastAsia="仿宋_GB2312"/>
          <w:sz w:val="32"/>
          <w:szCs w:val="32"/>
        </w:rPr>
      </w:pPr>
      <w:r>
        <w:rPr>
          <w:rFonts w:hint="eastAsia" w:ascii="黑体" w:hAnsi="黑体" w:eastAsia="黑体"/>
          <w:sz w:val="32"/>
          <w:szCs w:val="32"/>
        </w:rPr>
        <w:t xml:space="preserve">                </w:t>
      </w:r>
    </w:p>
    <w:sectPr>
      <w:footerReference r:id="rId3" w:type="default"/>
      <w:footerReference r:id="rId4" w:type="even"/>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6</w:t>
    </w:r>
    <w:r>
      <w:rPr>
        <w:rStyle w:val="10"/>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AA9D4"/>
    <w:multiLevelType w:val="singleLevel"/>
    <w:tmpl w:val="06FAA9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RiMDg4MGUxNjUyZjMxMTQ3YTA5NGJjMGEyNDMyOTAifQ=="/>
    <w:docVar w:name="KSO_WPS_MARK_KEY" w:val="3e329ef8-6005-4e07-b7d6-f54008f790af"/>
  </w:docVars>
  <w:rsids>
    <w:rsidRoot w:val="008E0024"/>
    <w:rsid w:val="00005027"/>
    <w:rsid w:val="000772C3"/>
    <w:rsid w:val="000906D2"/>
    <w:rsid w:val="001B4100"/>
    <w:rsid w:val="0035087B"/>
    <w:rsid w:val="00352E4D"/>
    <w:rsid w:val="003B2CC9"/>
    <w:rsid w:val="003B3F4A"/>
    <w:rsid w:val="00414151"/>
    <w:rsid w:val="00421A84"/>
    <w:rsid w:val="00485856"/>
    <w:rsid w:val="004B0821"/>
    <w:rsid w:val="004B18D9"/>
    <w:rsid w:val="0052228F"/>
    <w:rsid w:val="00534B8B"/>
    <w:rsid w:val="005426B3"/>
    <w:rsid w:val="00582227"/>
    <w:rsid w:val="005C53FE"/>
    <w:rsid w:val="005D7F98"/>
    <w:rsid w:val="005F51AE"/>
    <w:rsid w:val="00701C38"/>
    <w:rsid w:val="00716E89"/>
    <w:rsid w:val="00744445"/>
    <w:rsid w:val="00787894"/>
    <w:rsid w:val="007E4FF1"/>
    <w:rsid w:val="00876584"/>
    <w:rsid w:val="008A7C54"/>
    <w:rsid w:val="008D4B81"/>
    <w:rsid w:val="008E0024"/>
    <w:rsid w:val="009B7288"/>
    <w:rsid w:val="00A93EB5"/>
    <w:rsid w:val="00B363FE"/>
    <w:rsid w:val="00B46F92"/>
    <w:rsid w:val="00B86824"/>
    <w:rsid w:val="00BB5521"/>
    <w:rsid w:val="00BC10B7"/>
    <w:rsid w:val="00C75206"/>
    <w:rsid w:val="00C95887"/>
    <w:rsid w:val="00CA2213"/>
    <w:rsid w:val="00CB7B24"/>
    <w:rsid w:val="00D03A35"/>
    <w:rsid w:val="00D04CF9"/>
    <w:rsid w:val="00D67041"/>
    <w:rsid w:val="00E02455"/>
    <w:rsid w:val="00E2146E"/>
    <w:rsid w:val="00E23ACC"/>
    <w:rsid w:val="00EA570F"/>
    <w:rsid w:val="00F26FD2"/>
    <w:rsid w:val="00FB7D53"/>
    <w:rsid w:val="00FE7118"/>
    <w:rsid w:val="00FF1E8C"/>
    <w:rsid w:val="00FF6BAE"/>
    <w:rsid w:val="035241C7"/>
    <w:rsid w:val="06C3026E"/>
    <w:rsid w:val="07681E2C"/>
    <w:rsid w:val="07AF3D02"/>
    <w:rsid w:val="142919C1"/>
    <w:rsid w:val="14D863C9"/>
    <w:rsid w:val="16267D78"/>
    <w:rsid w:val="19AA220F"/>
    <w:rsid w:val="1CE30B1E"/>
    <w:rsid w:val="1FEA5A5B"/>
    <w:rsid w:val="22FA1ADC"/>
    <w:rsid w:val="275D6B12"/>
    <w:rsid w:val="295E3016"/>
    <w:rsid w:val="2DAF6759"/>
    <w:rsid w:val="2F0B75DD"/>
    <w:rsid w:val="315C7E3B"/>
    <w:rsid w:val="332901F1"/>
    <w:rsid w:val="3C9B08B5"/>
    <w:rsid w:val="417B60BB"/>
    <w:rsid w:val="43195B8C"/>
    <w:rsid w:val="434D1CD9"/>
    <w:rsid w:val="43E202FE"/>
    <w:rsid w:val="47C14A44"/>
    <w:rsid w:val="4A204D87"/>
    <w:rsid w:val="4F0C2A48"/>
    <w:rsid w:val="50A32F39"/>
    <w:rsid w:val="536B04FC"/>
    <w:rsid w:val="53EC5C79"/>
    <w:rsid w:val="554C6289"/>
    <w:rsid w:val="5C3929A3"/>
    <w:rsid w:val="61F01D56"/>
    <w:rsid w:val="6961332C"/>
    <w:rsid w:val="6B4D0219"/>
    <w:rsid w:val="6CBB3D53"/>
    <w:rsid w:val="727918F3"/>
    <w:rsid w:val="73A63548"/>
    <w:rsid w:val="74DF6386"/>
    <w:rsid w:val="77AF3575"/>
    <w:rsid w:val="77DC4DFE"/>
    <w:rsid w:val="7CE02C9B"/>
    <w:rsid w:val="7E8A71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autoRedefine/>
    <w:semiHidden/>
    <w:unhideWhenUsed/>
    <w:qFormat/>
    <w:uiPriority w:val="99"/>
    <w:rPr>
      <w:rFonts w:ascii="宋体"/>
      <w:sz w:val="18"/>
      <w:szCs w:val="18"/>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22"/>
    <w:rPr>
      <w:b/>
      <w:bCs/>
    </w:rPr>
  </w:style>
  <w:style w:type="character" w:styleId="10">
    <w:name w:val="page number"/>
    <w:basedOn w:val="8"/>
    <w:autoRedefine/>
    <w:qFormat/>
    <w:uiPriority w:val="0"/>
  </w:style>
  <w:style w:type="character" w:customStyle="1" w:styleId="11">
    <w:name w:val="页脚 Char"/>
    <w:basedOn w:val="8"/>
    <w:link w:val="4"/>
    <w:autoRedefine/>
    <w:qFormat/>
    <w:uiPriority w:val="0"/>
    <w:rPr>
      <w:rFonts w:ascii="Times New Roman" w:hAnsi="Times New Roman" w:eastAsia="宋体" w:cs="Times New Roman"/>
      <w:sz w:val="18"/>
      <w:szCs w:val="18"/>
    </w:rPr>
  </w:style>
  <w:style w:type="character" w:customStyle="1" w:styleId="12">
    <w:name w:val="批注框文本 Char"/>
    <w:basedOn w:val="8"/>
    <w:link w:val="3"/>
    <w:autoRedefine/>
    <w:semiHidden/>
    <w:qFormat/>
    <w:uiPriority w:val="99"/>
    <w:rPr>
      <w:rFonts w:ascii="Times New Roman" w:hAnsi="Times New Roman" w:eastAsia="宋体" w:cs="Times New Roman"/>
      <w:sz w:val="18"/>
      <w:szCs w:val="18"/>
    </w:rPr>
  </w:style>
  <w:style w:type="character" w:customStyle="1" w:styleId="13">
    <w:name w:val="页眉 Char"/>
    <w:basedOn w:val="8"/>
    <w:link w:val="5"/>
    <w:autoRedefine/>
    <w:qFormat/>
    <w:uiPriority w:val="99"/>
    <w:rPr>
      <w:rFonts w:ascii="Times New Roman" w:hAnsi="Times New Roman" w:eastAsia="宋体" w:cs="Times New Roman"/>
      <w:sz w:val="18"/>
      <w:szCs w:val="18"/>
    </w:rPr>
  </w:style>
  <w:style w:type="paragraph" w:styleId="14">
    <w:name w:val="List Paragraph"/>
    <w:basedOn w:val="1"/>
    <w:autoRedefine/>
    <w:qFormat/>
    <w:uiPriority w:val="34"/>
    <w:pPr>
      <w:ind w:firstLine="420" w:firstLineChars="200"/>
    </w:pPr>
  </w:style>
  <w:style w:type="paragraph" w:customStyle="1" w:styleId="15">
    <w:name w:val="Char Char Char Char"/>
    <w:basedOn w:val="4"/>
    <w:autoRedefine/>
    <w:qFormat/>
    <w:uiPriority w:val="0"/>
    <w:pPr>
      <w:shd w:val="clear" w:color="auto" w:fill="000080"/>
      <w:tabs>
        <w:tab w:val="clear" w:pos="4153"/>
        <w:tab w:val="clear" w:pos="8306"/>
      </w:tabs>
      <w:snapToGrid/>
      <w:jc w:val="both"/>
    </w:pPr>
    <w:rPr>
      <w:rFonts w:ascii="Tahoma" w:hAnsi="Tahoma" w:cs="Tahoma"/>
      <w:sz w:val="24"/>
      <w:szCs w:val="24"/>
    </w:rPr>
  </w:style>
  <w:style w:type="character" w:customStyle="1" w:styleId="16">
    <w:name w:val="文档结构图 Char"/>
    <w:basedOn w:val="8"/>
    <w:link w:val="2"/>
    <w:autoRedefine/>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2120</Words>
  <Characters>2206</Characters>
  <Lines>19</Lines>
  <Paragraphs>5</Paragraphs>
  <TotalTime>5</TotalTime>
  <ScaleCrop>false</ScaleCrop>
  <LinksUpToDate>false</LinksUpToDate>
  <CharactersWithSpaces>2279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2020-04-15T01:58:00Z</dcterms:created>
  <dc:creator>李小平(拟稿)</dc:creator>
  <cp:lastModifiedBy>小鱼儿</cp:lastModifiedBy>
  <dcterms:modified xsi:type="dcterms:W3CDTF">2025-01-14T03:27:21Z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A0B32DAC364D4B4BBDDDDD58340C2084</vt:lpwstr>
  </property>
</Properties>
</file>