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531E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1DD49DA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2A5981C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7638FDD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4BD3A15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 w14:paraId="634CC87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7B002DA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0C1B35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B26BE8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1ADEE7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A53BA0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FC4F8E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86A950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FD1096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EC941E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6462D5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7345C7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128CFB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 w14:paraId="478F93D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 w14:paraId="7841B3E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C93216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52CB0B9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7FA40C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 w14:paraId="74FAE20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541889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 w14:paraId="0B9E3A1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 w14:paraId="4DC6610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 w14:paraId="00973DD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13F516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3B200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831875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0F97AF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4856DAB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 w14:paraId="3075EDC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52B9604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42DDB11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ABF0AF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01873A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 w14:paraId="37797F5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 w14:paraId="41B45E9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 w14:paraId="3120872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 w14:paraId="2AAE032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 w14:paraId="578F9AC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 w14:paraId="1601F61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53C054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6B5A6DF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A19739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19C088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C7D7B9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60ED55E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D1C8D9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3A6AAC8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 w14:paraId="1AB33DD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 w14:paraId="0992571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 w14:paraId="0F48422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 w14:paraId="3E6DD7D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 w14:paraId="19A7467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 w14:paraId="43231D4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5487DA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2FBFD1B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576C1FE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4C72717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5821D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E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107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5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8F5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A05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295E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66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C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3457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7BD30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2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48A4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1E240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C3B6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3DD4E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516B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1A209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C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B3844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542ADE43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29E5B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B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A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4D5B9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5D320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2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5E42">
            <w:pPr>
              <w:rPr>
                <w:rFonts w:hint="eastAsia"/>
                <w:sz w:val="28"/>
                <w:szCs w:val="28"/>
              </w:rPr>
            </w:pPr>
          </w:p>
        </w:tc>
      </w:tr>
      <w:tr w14:paraId="0948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8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A60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2341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1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2E4F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954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F1E71F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3D77BF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2D04ED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4E04C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1F5051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1137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4C00B26D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1AE82D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60FBC72B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45D5999B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1BF3264B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36377EF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3D91843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5234425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19D6D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3EB79B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6E5C0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11941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3379210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6F9121B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6C0BDA25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14FE691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2DEEAFE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03CBD7E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242543BA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7050FB3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341B717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5FA1EEAF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52FD2E5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3029893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24C248F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0DDABB8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7FC3A355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6B451EC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7A5964C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564C79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555BA71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6CA9D2E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3FFE6D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79F0CB5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1662A30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22B9750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1842DD4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7CE1C4F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C24C8B8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0A22AF1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0B0CA3AE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7CBE2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7B0D40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632835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626F5534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2E7AB20E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55B5F57D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2FB8A5B6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08C1F1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283E95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509680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40FA91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57DD20BD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31940C81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095FC7F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21E70E13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1D109FC7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21AE6B34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688DE04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550118C7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65B9A40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414C6532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5B045A3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65441C9C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0C16524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F587DE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5D274C0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17521E9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694FB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F3D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4A235DF7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172FF7DE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4037986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3E39A74E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04166CDE">
      <w:pPr>
        <w:pStyle w:val="1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1988854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4BBD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7A1C26F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21D64107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108FE16C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57BCF9C3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707024FF">
      <w:pPr>
        <w:pStyle w:val="11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53A12F71">
      <w:pPr>
        <w:pStyle w:val="11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68A0EDA3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00CA924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5D8CA62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797A619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1D5F195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07EB0D6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0568C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89929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26226916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3FBC94D3"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 w14:paraId="69924F8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5C6867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4EE7C0B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 w14:paraId="1B055E8E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50EF4FC1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2BCD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4A9CE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3C7D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01C3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6209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7A44A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3E17C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5667E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3964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454B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49501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08E4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2522B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2A512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378FC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2F27F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0B6A8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61769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5D462C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43ECF2C9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01DD0614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04BD8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453D6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6305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E9C77A5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309B8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3CA44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0BDF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B9807D1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1C6D5A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67B08B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2758CA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216E5589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3056354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57731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1F08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89ED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4AED2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0AB19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20529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36242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438F2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6E3A6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46323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64CB5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4976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4D9D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016DB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7E3B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1C4A5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21AF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34BF2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55C68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15DEC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28ED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5E9E7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2EB6E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1129B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C9FD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D03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142F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89B331C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06440A8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44277B6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389C24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4FF731C6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3B99EB9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015CCFCE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5ABEE1AB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6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390F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B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0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27CC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23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C2A7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8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6D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2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5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CB8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6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2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F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1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52C2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D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6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8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8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3201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1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7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5527B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C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A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02E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D2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2AB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26ED17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D41C9D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B3AD36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49B55E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1C7DE3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BC1F5A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60992EE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A879ED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3F25A8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72A384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0698AA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298FEE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702A4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582A6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24441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0CAD6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6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C2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5F2093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784A90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0F1BFAAC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0ECC775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48244B2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7C0741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3DC8419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413A453A">
      <w:pPr>
        <w:rPr>
          <w:rFonts w:hint="eastAsia" w:eastAsia="宋体"/>
          <w:lang w:eastAsia="zh-CN"/>
        </w:rPr>
      </w:pPr>
    </w:p>
    <w:p w14:paraId="0E3F8639">
      <w:pPr>
        <w:rPr>
          <w:rFonts w:hint="eastAsia" w:eastAsia="宋体"/>
          <w:lang w:eastAsia="zh-CN"/>
        </w:rPr>
      </w:pPr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CB64E8-C78B-477C-A770-D3A21A62A3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352963E-C6F8-4B07-84D2-2B195B438C9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4CC3DB-89D5-4018-A05F-9F83A8948A5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D0A99D9-8604-43B7-9208-EB9FB5F8CD7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7826BC9-A92F-4362-90CE-4E0366AFD6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EF041E9-463F-4D83-BCE8-7519B978BC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6E13E827-7DE2-4667-9A2B-ED6A6436336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8" w:fontKey="{F3C294A8-7199-4BC6-932E-267F640B89E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33391923-7AAC-4A85-AB30-06BA980DBE72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10" w:fontKey="{2AB055FE-D2FF-45B8-B811-7F7CF3311BF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1" w:fontKey="{3228CE18-D0D5-419C-9261-DFFEFF0683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8981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2800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C72FA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ACB0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RJKnMkBAACa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uqLEcYsDv3z/dvnx6/LzK1m+&#10;yfr0AWpMewiYmIY7P+DWzH5AZ6Y9qGjzFwkRjKO656u6ckhE5Efr1XpdYUhgbL4gPnt8HiKkt9Jb&#10;ko2GRhxfUZWf3kMaU+eUXM35e21MGaFxfzkQM3tY7n3sMVtp2A8Tob1vz8inx8k31OGiU2LeORQ2&#10;L8lsxNnYz8YxRH3oyhblehBujwmbKL3lCiPsVBhHVthN65V34s97yXr8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ZEkq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DACB0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A54C0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E62A3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25402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KjeIBAADN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bL&#10;pE/vsaKyO0+FcXgNQ6qd4kjBRHtog01/IsQoT+qer+qqITKZDq1X63VJKUm52SGc4v64DxjfKrAs&#10;GTUPdH1ZVXF6j3EsnUtSNwe32hiKi8q4vwKEOUZU3oHpdGIyTpysOOyHicYemjOxo1dBXTsIXznr&#10;aSdq7ugJcGbeOZI8rc9shNnYz4Zwkg7WPHI2mm/iuGZHH/Shy4uXRkT/6hhp7kwnjTH2JhmSQ7ec&#10;BZk2Mq3RQz9X3b/C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ohKj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25402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571D1B"/>
    <w:rsid w:val="00921E28"/>
    <w:rsid w:val="00ED64C2"/>
    <w:rsid w:val="0FBB45DD"/>
    <w:rsid w:val="11532878"/>
    <w:rsid w:val="12F47EDF"/>
    <w:rsid w:val="1E9F76F6"/>
    <w:rsid w:val="2F1FCDF3"/>
    <w:rsid w:val="2FFF6757"/>
    <w:rsid w:val="3A7B6DF9"/>
    <w:rsid w:val="51FF28B6"/>
    <w:rsid w:val="53FBADC5"/>
    <w:rsid w:val="5403058C"/>
    <w:rsid w:val="5AC72AB8"/>
    <w:rsid w:val="5B2E55E1"/>
    <w:rsid w:val="687F88CB"/>
    <w:rsid w:val="6B77CFD7"/>
    <w:rsid w:val="6B7C1C7A"/>
    <w:rsid w:val="6BA14C4C"/>
    <w:rsid w:val="6D9F5E34"/>
    <w:rsid w:val="6F75F698"/>
    <w:rsid w:val="71FDA6C4"/>
    <w:rsid w:val="75CFE648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4607</Words>
  <Characters>4636</Characters>
  <Lines>1</Lines>
  <Paragraphs>1</Paragraphs>
  <TotalTime>10</TotalTime>
  <ScaleCrop>false</ScaleCrop>
  <LinksUpToDate>false</LinksUpToDate>
  <CharactersWithSpaces>7243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2013-10-24T13:23:00Z</dcterms:created>
  <dc:creator>1</dc:creator>
  <cp:lastModifiedBy>胡明(huming1)</cp:lastModifiedBy>
  <cp:lastPrinted>2025-04-30T08:03:00Z</cp:lastPrinted>
  <dcterms:modified xsi:type="dcterms:W3CDTF">2025-08-29T02:22:14Z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6E7C218443A0403D9FB19736E42E1E97_13</vt:lpwstr>
  </property>
  <property fmtid="{D5CDD505-2E9C-101B-9397-08002B2CF9AE}" pid="4" name="KSOTemplateDocerSaveRecord">
    <vt:lpwstr>eyJoZGlkIjoiNjRmOWUxMDVhNzNhNzVhNTMyNDhhOTcwYmZmZjA3YjkiLCJ1c2VySWQiOiIxMTM5NTMxMDkwIn0=</vt:lpwstr>
  </property>
</Properties>
</file>